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5321D7" w:rsidR="006F7258" w:rsidP="75F1237D" w:rsidRDefault="006F7258" w14:paraId="34C21EBD" w14:textId="7B1FEB93">
      <w:pPr>
        <w:widowControl w:val="1"/>
        <w:tabs>
          <w:tab w:val="center" w:pos="4536"/>
          <w:tab w:val="right" w:pos="9072"/>
        </w:tabs>
        <w:rPr>
          <w:rFonts w:ascii="Arial" w:hAnsi="Arial" w:eastAsia="MS Mincho" w:cs="Arial"/>
          <w:b w:val="1"/>
          <w:bCs w:val="1"/>
          <w:kern w:val="0"/>
          <w:sz w:val="22"/>
          <w:szCs w:val="22"/>
          <w:lang w:val="en-GB" w:eastAsia="zh-CN"/>
        </w:rPr>
      </w:pPr>
      <w:r w:rsidRPr="75F1237D" w:rsidR="006F7258">
        <w:rPr>
          <w:rFonts w:ascii="Arial" w:hAnsi="Arial" w:eastAsia="SimSun" w:cs="Arial"/>
          <w:b w:val="1"/>
          <w:bCs w:val="1"/>
          <w:kern w:val="0"/>
          <w:sz w:val="22"/>
          <w:szCs w:val="22"/>
          <w:lang w:eastAsia="zh-CN"/>
        </w:rPr>
        <w:t>3GPP TSG-RAN WG2 Meeting #12</w:t>
      </w:r>
      <w:r w:rsidRPr="75F1237D" w:rsidR="00BC6CA7">
        <w:rPr>
          <w:rFonts w:ascii="Arial" w:hAnsi="Arial" w:eastAsia="SimSun" w:cs="Arial"/>
          <w:b w:val="1"/>
          <w:bCs w:val="1"/>
          <w:kern w:val="0"/>
          <w:sz w:val="22"/>
          <w:szCs w:val="22"/>
          <w:lang w:eastAsia="zh-CN"/>
        </w:rPr>
        <w:t>7bis</w:t>
      </w:r>
      <w:r w:rsidRPr="005321D7">
        <w:rPr>
          <w:rFonts w:ascii="Arial" w:hAnsi="Arial" w:eastAsia="MS Mincho" w:cs="Arial"/>
          <w:b/>
          <w:kern w:val="0"/>
          <w:sz w:val="22"/>
          <w:lang w:eastAsia="en-US"/>
        </w:rPr>
        <w:tab/>
      </w:r>
      <w:r w:rsidRPr="005321D7">
        <w:rPr>
          <w:rFonts w:ascii="Arial" w:hAnsi="Arial" w:eastAsia="MS Mincho" w:cs="Arial"/>
          <w:b/>
          <w:kern w:val="0"/>
          <w:sz w:val="22"/>
          <w:lang w:eastAsia="en-US"/>
        </w:rPr>
        <w:tab/>
      </w:r>
      <w:r w:rsidRPr="75F1237D" w:rsidR="006F7258">
        <w:rPr>
          <w:rFonts w:ascii="Arial" w:hAnsi="Arial" w:eastAsia="MS Mincho" w:cs="Arial"/>
          <w:b w:val="1"/>
          <w:bCs w:val="1"/>
          <w:kern w:val="0"/>
          <w:sz w:val="22"/>
          <w:szCs w:val="22"/>
          <w:lang w:eastAsia="en-US"/>
        </w:rPr>
        <w:t xml:space="preserve">     </w:t>
      </w:r>
      <w:r w:rsidRPr="75F1237D" w:rsidR="006F7258">
        <w:rPr>
          <w:rFonts w:ascii="Arial" w:hAnsi="Arial" w:eastAsia="MS Mincho" w:cs="Arial"/>
          <w:b w:val="1"/>
          <w:bCs w:val="1"/>
          <w:kern w:val="0"/>
          <w:sz w:val="22"/>
          <w:szCs w:val="22"/>
          <w:lang w:eastAsia="en-US"/>
        </w:rPr>
        <w:t xml:space="preserve">  </w:t>
      </w:r>
      <w:r w:rsidRPr="75F1237D" w:rsidR="006F7258">
        <w:rPr>
          <w:rFonts w:ascii="Arial" w:hAnsi="Arial" w:eastAsia="MS Mincho" w:cs="Arial"/>
          <w:b w:val="1"/>
          <w:bCs w:val="1"/>
          <w:kern w:val="0"/>
          <w:sz w:val="22"/>
          <w:szCs w:val="22"/>
          <w:lang w:eastAsia="en-US"/>
        </w:rPr>
        <w:t>R2-24</w:t>
      </w:r>
      <w:r w:rsidRPr="75F1237D" w:rsidR="529871D1">
        <w:rPr>
          <w:rFonts w:ascii="Arial" w:hAnsi="Arial" w:eastAsia="MS Mincho" w:cs="Arial"/>
          <w:b w:val="1"/>
          <w:bCs w:val="1"/>
          <w:kern w:val="0"/>
          <w:sz w:val="22"/>
          <w:szCs w:val="22"/>
          <w:lang w:eastAsia="en-US"/>
        </w:rPr>
        <w:t>08353</w:t>
      </w:r>
    </w:p>
    <w:p w:rsidRPr="005321D7" w:rsidR="006F7258" w:rsidP="006F7258" w:rsidRDefault="00A6178B" w14:paraId="16220EE8" w14:textId="639826D0">
      <w:pPr>
        <w:widowControl/>
        <w:tabs>
          <w:tab w:val="center" w:pos="4536"/>
          <w:tab w:val="right" w:pos="9072"/>
        </w:tabs>
        <w:rPr>
          <w:rFonts w:ascii="Arial" w:hAnsi="Arial" w:eastAsia="SimSun" w:cs="Arial"/>
          <w:b/>
          <w:kern w:val="0"/>
          <w:sz w:val="22"/>
          <w:lang w:eastAsia="zh-CN"/>
        </w:rPr>
      </w:pPr>
      <w:r>
        <w:rPr>
          <w:rFonts w:ascii="Arial" w:hAnsi="Arial" w:eastAsia="MS Mincho" w:cs="Arial"/>
          <w:b/>
          <w:kern w:val="0"/>
          <w:sz w:val="22"/>
          <w:lang w:eastAsia="en-US"/>
        </w:rPr>
        <w:t>Hefei</w:t>
      </w:r>
      <w:r w:rsidRPr="005321D7" w:rsidR="006F7258">
        <w:rPr>
          <w:rFonts w:ascii="Arial" w:hAnsi="Arial" w:eastAsia="MS Mincho" w:cs="Arial"/>
          <w:b/>
          <w:kern w:val="0"/>
          <w:sz w:val="22"/>
          <w:lang w:eastAsia="en-US"/>
        </w:rPr>
        <w:t xml:space="preserve">, </w:t>
      </w:r>
      <w:r>
        <w:rPr>
          <w:rFonts w:ascii="Arial" w:hAnsi="Arial" w:eastAsia="MS Mincho" w:cs="Arial"/>
          <w:b/>
          <w:kern w:val="0"/>
          <w:sz w:val="22"/>
          <w:lang w:eastAsia="en-US"/>
        </w:rPr>
        <w:t>C</w:t>
      </w:r>
      <w:r w:rsidR="00FE1701">
        <w:rPr>
          <w:rFonts w:ascii="Arial" w:hAnsi="Arial" w:eastAsia="MS Mincho" w:cs="Arial"/>
          <w:b/>
          <w:kern w:val="0"/>
          <w:sz w:val="22"/>
          <w:lang w:eastAsia="en-US"/>
        </w:rPr>
        <w:t>hina</w:t>
      </w:r>
      <w:r w:rsidRPr="005321D7" w:rsidR="006F7258">
        <w:rPr>
          <w:rFonts w:ascii="Arial" w:hAnsi="Arial" w:eastAsia="SimSun" w:cs="Arial"/>
          <w:b/>
          <w:kern w:val="0"/>
          <w:sz w:val="22"/>
          <w:lang w:eastAsia="zh-CN"/>
        </w:rPr>
        <w:t>: 1</w:t>
      </w:r>
      <w:r>
        <w:rPr>
          <w:rFonts w:ascii="Arial" w:hAnsi="Arial" w:eastAsia="SimSun" w:cs="Arial"/>
          <w:b/>
          <w:kern w:val="0"/>
          <w:sz w:val="22"/>
          <w:lang w:eastAsia="zh-CN"/>
        </w:rPr>
        <w:t>4</w:t>
      </w:r>
      <w:r w:rsidRPr="005321D7" w:rsidR="006F7258">
        <w:rPr>
          <w:rFonts w:ascii="Arial" w:hAnsi="Arial" w:eastAsia="SimSun" w:cs="Arial"/>
          <w:b/>
          <w:kern w:val="0"/>
          <w:sz w:val="22"/>
          <w:vertAlign w:val="superscript"/>
          <w:lang w:eastAsia="zh-CN"/>
        </w:rPr>
        <w:t>th</w:t>
      </w:r>
      <w:r w:rsidRPr="005321D7" w:rsidR="006F7258">
        <w:rPr>
          <w:rFonts w:ascii="Arial" w:hAnsi="Arial" w:eastAsia="SimSun" w:cs="Arial"/>
          <w:b/>
          <w:kern w:val="0"/>
          <w:sz w:val="22"/>
          <w:lang w:eastAsia="zh-CN"/>
        </w:rPr>
        <w:t xml:space="preserve"> </w:t>
      </w:r>
      <w:r>
        <w:rPr>
          <w:rFonts w:ascii="Arial" w:hAnsi="Arial" w:eastAsia="SimSun" w:cs="Arial"/>
          <w:b/>
          <w:kern w:val="0"/>
          <w:sz w:val="22"/>
          <w:lang w:eastAsia="zh-CN"/>
        </w:rPr>
        <w:t>October</w:t>
      </w:r>
      <w:r w:rsidRPr="005321D7" w:rsidR="006F7258">
        <w:rPr>
          <w:rFonts w:ascii="Arial" w:hAnsi="Arial" w:eastAsia="SimSun" w:cs="Arial"/>
          <w:b/>
          <w:kern w:val="0"/>
          <w:sz w:val="22"/>
          <w:lang w:eastAsia="zh-CN"/>
        </w:rPr>
        <w:t xml:space="preserve"> – </w:t>
      </w:r>
      <w:r w:rsidR="00E25BD3">
        <w:rPr>
          <w:rFonts w:ascii="Arial" w:hAnsi="Arial" w:eastAsia="SimSun" w:cs="Arial"/>
          <w:b/>
          <w:kern w:val="0"/>
          <w:sz w:val="22"/>
          <w:lang w:eastAsia="zh-CN"/>
        </w:rPr>
        <w:t>18</w:t>
      </w:r>
      <w:r w:rsidR="00E25BD3">
        <w:rPr>
          <w:rFonts w:ascii="Arial" w:hAnsi="Arial" w:eastAsia="SimSun" w:cs="Arial"/>
          <w:b/>
          <w:kern w:val="0"/>
          <w:sz w:val="22"/>
          <w:vertAlign w:val="superscript"/>
          <w:lang w:eastAsia="zh-CN"/>
        </w:rPr>
        <w:t>th</w:t>
      </w:r>
      <w:r w:rsidRPr="005321D7" w:rsidR="006F7258">
        <w:rPr>
          <w:rFonts w:ascii="Arial" w:hAnsi="Arial" w:eastAsia="SimSun" w:cs="Arial"/>
          <w:b/>
          <w:kern w:val="0"/>
          <w:sz w:val="22"/>
          <w:lang w:eastAsia="zh-CN"/>
        </w:rPr>
        <w:t xml:space="preserve"> </w:t>
      </w:r>
      <w:r w:rsidR="00E25BD3">
        <w:rPr>
          <w:rFonts w:ascii="Arial" w:hAnsi="Arial" w:eastAsia="SimSun" w:cs="Arial"/>
          <w:b/>
          <w:kern w:val="0"/>
          <w:sz w:val="22"/>
          <w:lang w:eastAsia="zh-CN"/>
        </w:rPr>
        <w:t>October</w:t>
      </w:r>
      <w:r w:rsidRPr="005321D7" w:rsidR="006F7258">
        <w:rPr>
          <w:rFonts w:ascii="Arial" w:hAnsi="Arial" w:eastAsia="SimSun" w:cs="Arial"/>
          <w:b/>
          <w:kern w:val="0"/>
          <w:sz w:val="22"/>
          <w:lang w:eastAsia="zh-CN"/>
        </w:rPr>
        <w:t xml:space="preserve"> 2024</w:t>
      </w:r>
    </w:p>
    <w:p w:rsidRPr="006F7258" w:rsidR="006F7258" w:rsidP="006F7258" w:rsidRDefault="006F7258" w14:paraId="33A29061" w14:textId="77777777">
      <w:pPr>
        <w:pStyle w:val="11"/>
        <w:keepLines w:val="0"/>
        <w:widowControl w:val="0"/>
        <w:spacing w:after="180" w:afterLines="50"/>
        <w:rPr>
          <w:rFonts w:ascii="Arial" w:hAnsi="Arial" w:cs="Arial"/>
          <w:bCs/>
          <w:kern w:val="2"/>
          <w:sz w:val="22"/>
        </w:rPr>
      </w:pPr>
    </w:p>
    <w:p w:rsidRPr="006F7258" w:rsidR="006F7258" w:rsidP="006F7258" w:rsidRDefault="006F7258" w14:paraId="3FE50362" w14:textId="1913C00B">
      <w:pPr>
        <w:pStyle w:val="a3"/>
        <w:tabs>
          <w:tab w:val="left" w:pos="1800"/>
        </w:tabs>
        <w:spacing w:after="120"/>
        <w:ind w:left="1793" w:hanging="1793" w:hangingChars="814"/>
        <w:rPr>
          <w:rFonts w:ascii="Arial" w:hAnsi="Arial" w:cs="Arial"/>
          <w:b/>
          <w:bCs/>
          <w:sz w:val="22"/>
          <w:szCs w:val="22"/>
        </w:rPr>
      </w:pPr>
      <w:r w:rsidRPr="006F7258">
        <w:rPr>
          <w:rFonts w:ascii="Arial" w:hAnsi="Arial" w:cs="Arial"/>
          <w:b/>
          <w:bCs/>
          <w:sz w:val="22"/>
          <w:szCs w:val="22"/>
        </w:rPr>
        <w:t>Title:</w:t>
      </w:r>
      <w:bookmarkStart w:name="Title" w:id="0"/>
      <w:bookmarkEnd w:id="0"/>
      <w:r w:rsidRPr="006F7258">
        <w:rPr>
          <w:rFonts w:ascii="Arial" w:hAnsi="Arial" w:cs="Arial"/>
          <w:b/>
          <w:bCs/>
          <w:sz w:val="22"/>
          <w:szCs w:val="22"/>
        </w:rPr>
        <w:tab/>
      </w:r>
      <w:r>
        <w:rPr>
          <w:rFonts w:ascii="Arial" w:hAnsi="Arial" w:cs="Arial"/>
          <w:b/>
          <w:bCs/>
          <w:sz w:val="22"/>
          <w:szCs w:val="22"/>
        </w:rPr>
        <w:t xml:space="preserve">Discussion </w:t>
      </w:r>
      <w:r>
        <w:rPr>
          <w:rStyle w:val="normaltextrun"/>
          <w:rFonts w:ascii="Arial" w:hAnsi="Arial" w:cs="Arial"/>
          <w:b/>
          <w:bCs/>
          <w:sz w:val="22"/>
          <w:szCs w:val="22"/>
        </w:rPr>
        <w:t>o</w:t>
      </w:r>
      <w:r w:rsidRPr="006F7258">
        <w:rPr>
          <w:rStyle w:val="normaltextrun"/>
          <w:rFonts w:ascii="Arial" w:hAnsi="Arial" w:cs="Arial"/>
          <w:b/>
          <w:bCs/>
          <w:sz w:val="22"/>
          <w:szCs w:val="22"/>
        </w:rPr>
        <w:t xml:space="preserve">n </w:t>
      </w:r>
      <w:r w:rsidRPr="006F7258">
        <w:rPr>
          <w:rFonts w:ascii="Arial" w:hAnsi="Arial" w:cs="Arial"/>
          <w:b/>
          <w:bCs/>
          <w:sz w:val="22"/>
          <w:szCs w:val="22"/>
        </w:rPr>
        <w:t>LCM for UE-sided models</w:t>
      </w:r>
    </w:p>
    <w:p w:rsidRPr="006F7258" w:rsidR="006F7258" w:rsidP="006F7258" w:rsidRDefault="006F7258" w14:paraId="7E89B89E" w14:textId="4EF62A60">
      <w:pPr>
        <w:pStyle w:val="a3"/>
        <w:tabs>
          <w:tab w:val="left" w:pos="1800"/>
        </w:tabs>
        <w:spacing w:after="120"/>
        <w:ind w:left="1800" w:hanging="1800"/>
        <w:rPr>
          <w:rFonts w:ascii="Arial" w:hAnsi="Arial" w:eastAsia="SimSun" w:cs="Arial"/>
          <w:b/>
          <w:bCs/>
          <w:sz w:val="22"/>
          <w:szCs w:val="22"/>
          <w:lang w:eastAsia="zh-CN"/>
        </w:rPr>
      </w:pPr>
      <w:r w:rsidRPr="006F7258">
        <w:rPr>
          <w:rFonts w:ascii="Arial" w:hAnsi="Arial" w:cs="Arial"/>
          <w:b/>
          <w:bCs/>
          <w:sz w:val="22"/>
          <w:szCs w:val="22"/>
        </w:rPr>
        <w:t>Source:</w:t>
      </w:r>
      <w:r w:rsidRPr="006F7258">
        <w:rPr>
          <w:rFonts w:ascii="Arial" w:hAnsi="Arial" w:cs="Arial"/>
          <w:b/>
          <w:bCs/>
          <w:sz w:val="22"/>
          <w:szCs w:val="22"/>
        </w:rPr>
        <w:tab/>
      </w:r>
      <w:proofErr w:type="spellStart"/>
      <w:r>
        <w:rPr>
          <w:rFonts w:ascii="Arial" w:hAnsi="Arial" w:eastAsia="SimSun" w:cs="Arial"/>
          <w:b/>
          <w:bCs/>
          <w:sz w:val="22"/>
          <w:szCs w:val="22"/>
          <w:lang w:eastAsia="zh-CN"/>
        </w:rPr>
        <w:t>ASUSTeK</w:t>
      </w:r>
      <w:proofErr w:type="spellEnd"/>
      <w:r w:rsidRPr="006F7258">
        <w:rPr>
          <w:rFonts w:ascii="Arial" w:hAnsi="Arial" w:eastAsia="SimSun" w:cs="Arial"/>
          <w:b/>
          <w:bCs/>
          <w:sz w:val="22"/>
          <w:szCs w:val="22"/>
          <w:lang w:eastAsia="zh-CN"/>
        </w:rPr>
        <w:t xml:space="preserve"> </w:t>
      </w:r>
    </w:p>
    <w:p w:rsidRPr="006F7258" w:rsidR="006F7258" w:rsidP="006F7258" w:rsidRDefault="006F7258" w14:paraId="396E877D" w14:textId="3814E10F">
      <w:pPr>
        <w:pStyle w:val="a3"/>
        <w:tabs>
          <w:tab w:val="left" w:pos="1800"/>
        </w:tabs>
        <w:spacing w:after="120"/>
        <w:ind w:left="1793" w:hanging="1793" w:hangingChars="814"/>
        <w:rPr>
          <w:rFonts w:ascii="Arial" w:hAnsi="Arial" w:eastAsia="SimSun" w:cs="Arial"/>
          <w:b/>
          <w:bCs/>
          <w:sz w:val="22"/>
          <w:szCs w:val="22"/>
          <w:lang w:eastAsia="zh-CN"/>
        </w:rPr>
      </w:pPr>
      <w:r w:rsidRPr="006F7258">
        <w:rPr>
          <w:rFonts w:ascii="Arial" w:hAnsi="Arial" w:cs="Arial"/>
          <w:b/>
          <w:bCs/>
          <w:sz w:val="22"/>
          <w:szCs w:val="22"/>
        </w:rPr>
        <w:t>Agenda Item:</w:t>
      </w:r>
      <w:bookmarkStart w:name="Source" w:id="1"/>
      <w:bookmarkEnd w:id="1"/>
      <w:r w:rsidRPr="006F7258">
        <w:rPr>
          <w:rFonts w:ascii="Arial" w:hAnsi="Arial" w:cs="Arial"/>
          <w:b/>
          <w:bCs/>
          <w:sz w:val="22"/>
          <w:szCs w:val="22"/>
        </w:rPr>
        <w:tab/>
      </w:r>
      <w:r w:rsidRPr="006F7258">
        <w:rPr>
          <w:rFonts w:ascii="Arial" w:hAnsi="Arial" w:cs="Arial"/>
          <w:b/>
          <w:bCs/>
          <w:sz w:val="22"/>
          <w:szCs w:val="22"/>
        </w:rPr>
        <w:t>8.1.2.2</w:t>
      </w:r>
    </w:p>
    <w:p w:rsidRPr="006F7258" w:rsidR="006F7258" w:rsidP="006F7258" w:rsidRDefault="006F7258" w14:paraId="605089FE" w14:textId="77777777">
      <w:pPr>
        <w:pStyle w:val="a3"/>
        <w:tabs>
          <w:tab w:val="left" w:pos="1800"/>
        </w:tabs>
        <w:rPr>
          <w:rFonts w:ascii="Arial" w:hAnsi="Arial" w:eastAsia="SimSun" w:cs="Arial"/>
          <w:b/>
          <w:bCs/>
          <w:sz w:val="22"/>
          <w:szCs w:val="22"/>
          <w:lang w:eastAsia="zh-CN"/>
        </w:rPr>
      </w:pPr>
      <w:r w:rsidRPr="006F7258">
        <w:rPr>
          <w:rFonts w:ascii="Arial" w:hAnsi="Arial" w:cs="Arial"/>
          <w:b/>
          <w:bCs/>
          <w:sz w:val="22"/>
          <w:szCs w:val="22"/>
        </w:rPr>
        <w:t>Document for:</w:t>
      </w:r>
      <w:r w:rsidRPr="006F7258">
        <w:rPr>
          <w:rFonts w:ascii="Arial" w:hAnsi="Arial" w:cs="Arial"/>
          <w:b/>
          <w:bCs/>
          <w:sz w:val="22"/>
          <w:szCs w:val="22"/>
        </w:rPr>
        <w:tab/>
      </w:r>
      <w:bookmarkStart w:name="DocumentFor" w:id="2"/>
      <w:bookmarkEnd w:id="2"/>
      <w:r w:rsidRPr="006F7258">
        <w:rPr>
          <w:rFonts w:ascii="Arial" w:hAnsi="Arial" w:eastAsia="SimSun" w:cs="Arial"/>
          <w:b/>
          <w:bCs/>
          <w:sz w:val="22"/>
          <w:szCs w:val="22"/>
          <w:lang w:eastAsia="zh-CN"/>
        </w:rPr>
        <w:t>Discussion and Decision</w:t>
      </w:r>
    </w:p>
    <w:p w:rsidRPr="006F7258" w:rsidR="006F7258" w:rsidP="006F7258" w:rsidRDefault="006F7258" w14:paraId="0CCACF56" w14:textId="77777777">
      <w:pPr>
        <w:pStyle w:val="1"/>
        <w:numPr>
          <w:ilvl w:val="0"/>
          <w:numId w:val="1"/>
        </w:numPr>
        <w:tabs>
          <w:tab w:val="clear" w:pos="397"/>
        </w:tabs>
        <w:snapToGrid w:val="0"/>
        <w:spacing w:before="180" w:beforeLines="50" w:afterLines="50"/>
        <w:contextualSpacing/>
        <w:jc w:val="both"/>
        <w:rPr>
          <w:rFonts w:cs="Arial"/>
          <w:sz w:val="32"/>
          <w:lang w:eastAsia="zh-TW"/>
        </w:rPr>
      </w:pPr>
      <w:r w:rsidRPr="006F7258">
        <w:rPr>
          <w:rFonts w:cs="Arial"/>
          <w:sz w:val="32"/>
          <w:lang w:eastAsia="zh-TW"/>
        </w:rPr>
        <w:t>Introduction</w:t>
      </w:r>
    </w:p>
    <w:p w:rsidRPr="001C7A9A" w:rsidR="006F7258" w:rsidP="00116396" w:rsidRDefault="00E526B4" w14:paraId="5B80C598" w14:textId="15D30752">
      <w:pPr>
        <w:contextualSpacing/>
        <w:rPr>
          <w:rFonts w:ascii="Arial" w:hAnsi="Arial" w:cs="Arial"/>
          <w:sz w:val="22"/>
          <w:szCs w:val="20"/>
          <w:lang w:val="en-GB"/>
        </w:rPr>
      </w:pPr>
      <w:r>
        <w:rPr>
          <w:rFonts w:ascii="Arial" w:hAnsi="Arial" w:cs="Arial"/>
          <w:sz w:val="22"/>
          <w:szCs w:val="20"/>
          <w:lang w:val="en-GB"/>
        </w:rPr>
        <w:t xml:space="preserve">The </w:t>
      </w:r>
      <w:r w:rsidRPr="001C510F">
        <w:rPr>
          <w:rFonts w:ascii="Arial" w:hAnsi="Arial" w:cs="Arial"/>
          <w:sz w:val="22"/>
          <w:lang w:val="en-GB"/>
        </w:rPr>
        <w:t xml:space="preserve">WI </w:t>
      </w:r>
      <w:proofErr w:type="spellStart"/>
      <w:r w:rsidRPr="008E7605">
        <w:rPr>
          <w:rFonts w:ascii="Arial" w:hAnsi="Arial" w:cs="Arial"/>
          <w:sz w:val="22"/>
        </w:rPr>
        <w:t>NR_AIML_air</w:t>
      </w:r>
      <w:proofErr w:type="spellEnd"/>
      <w:r w:rsidRPr="008E7605">
        <w:rPr>
          <w:rFonts w:ascii="Arial" w:hAnsi="Arial" w:cs="Arial"/>
          <w:sz w:val="22"/>
        </w:rPr>
        <w:t xml:space="preserve"> agreed</w:t>
      </w:r>
      <w:r>
        <w:t xml:space="preserve"> to provide specification support for LCM for functionality selection, activation, deactivation, switching and fallback. </w:t>
      </w:r>
      <w:r w:rsidRPr="001C7A9A" w:rsidR="00067AB9">
        <w:rPr>
          <w:rFonts w:ascii="Arial" w:hAnsi="Arial" w:cs="Arial"/>
          <w:sz w:val="22"/>
          <w:szCs w:val="20"/>
          <w:lang w:val="en-GB"/>
        </w:rPr>
        <w:t xml:space="preserve">In this </w:t>
      </w:r>
      <w:r w:rsidR="00826EE9">
        <w:rPr>
          <w:rFonts w:ascii="Arial" w:hAnsi="Arial" w:cs="Arial"/>
          <w:sz w:val="22"/>
          <w:szCs w:val="20"/>
          <w:lang w:val="en-GB"/>
        </w:rPr>
        <w:t>contribution</w:t>
      </w:r>
      <w:r w:rsidRPr="001C7A9A" w:rsidR="00067AB9">
        <w:rPr>
          <w:rFonts w:ascii="Arial" w:hAnsi="Arial" w:cs="Arial"/>
          <w:sz w:val="22"/>
          <w:szCs w:val="20"/>
          <w:lang w:val="en-GB"/>
        </w:rPr>
        <w:t>, we would like to discuss some issues based on RAN2 progress.</w:t>
      </w:r>
    </w:p>
    <w:tbl>
      <w:tblPr>
        <w:tblStyle w:val="a5"/>
        <w:tblW w:w="0" w:type="auto"/>
        <w:tblLook w:val="04A0" w:firstRow="1" w:lastRow="0" w:firstColumn="1" w:lastColumn="0" w:noHBand="0" w:noVBand="1"/>
      </w:tblPr>
      <w:tblGrid>
        <w:gridCol w:w="9736"/>
      </w:tblGrid>
      <w:tr w:rsidR="001C7A9A" w:rsidTr="001C7A9A" w14:paraId="5680FAF1" w14:textId="77777777">
        <w:tc>
          <w:tcPr>
            <w:tcW w:w="9736" w:type="dxa"/>
          </w:tcPr>
          <w:p w:rsidRPr="00E526B4" w:rsidR="001C7A9A" w:rsidP="00116396" w:rsidRDefault="001C7A9A" w14:paraId="4F3654D2" w14:textId="77777777">
            <w:pPr>
              <w:contextualSpacing/>
              <w:rPr>
                <w:rFonts w:ascii="Times New Roman" w:hAnsi="Times New Roman" w:cs="Times New Roman"/>
                <w:bCs/>
                <w:sz w:val="20"/>
                <w:szCs w:val="18"/>
              </w:rPr>
            </w:pPr>
            <w:r w:rsidRPr="00E526B4">
              <w:rPr>
                <w:rFonts w:ascii="Times New Roman" w:hAnsi="Times New Roman" w:cs="Times New Roman"/>
                <w:bCs/>
                <w:sz w:val="20"/>
                <w:szCs w:val="18"/>
              </w:rPr>
              <w:t>Provide specification support for the following aspects:</w:t>
            </w:r>
          </w:p>
          <w:p w:rsidRPr="00E526B4" w:rsidR="001C7A9A" w:rsidP="00116396" w:rsidRDefault="001C7A9A" w14:paraId="7260D2E7" w14:textId="77777777">
            <w:pPr>
              <w:widowControl/>
              <w:numPr>
                <w:ilvl w:val="0"/>
                <w:numId w:val="2"/>
              </w:numPr>
              <w:overflowPunct w:val="0"/>
              <w:autoSpaceDE w:val="0"/>
              <w:autoSpaceDN w:val="0"/>
              <w:adjustRightInd w:val="0"/>
              <w:contextualSpacing/>
              <w:textAlignment w:val="baseline"/>
              <w:rPr>
                <w:rFonts w:ascii="Times New Roman" w:hAnsi="Times New Roman" w:cs="Times New Roman"/>
                <w:bCs/>
                <w:sz w:val="20"/>
                <w:szCs w:val="18"/>
              </w:rPr>
            </w:pPr>
            <w:r w:rsidRPr="00E526B4">
              <w:rPr>
                <w:rFonts w:ascii="Times New Roman" w:hAnsi="Times New Roman" w:cs="Times New Roman"/>
                <w:bCs/>
                <w:sz w:val="20"/>
                <w:szCs w:val="18"/>
              </w:rPr>
              <w:t xml:space="preserve">AI/ML general framework for one-sided AI/ML models within the realm of what has been studied in the </w:t>
            </w:r>
            <w:proofErr w:type="spellStart"/>
            <w:r w:rsidRPr="00E526B4">
              <w:rPr>
                <w:rFonts w:ascii="Times New Roman" w:hAnsi="Times New Roman" w:cs="Times New Roman"/>
                <w:bCs/>
                <w:sz w:val="20"/>
                <w:szCs w:val="18"/>
              </w:rPr>
              <w:t>FS_NR_AIML_Air</w:t>
            </w:r>
            <w:proofErr w:type="spellEnd"/>
            <w:r w:rsidRPr="00E526B4">
              <w:rPr>
                <w:rFonts w:ascii="Times New Roman" w:hAnsi="Times New Roman" w:cs="Times New Roman"/>
                <w:bCs/>
                <w:sz w:val="20"/>
                <w:szCs w:val="18"/>
              </w:rPr>
              <w:t xml:space="preserve"> project [RAN2]:</w:t>
            </w:r>
          </w:p>
          <w:p w:rsidRPr="00E526B4" w:rsidR="001C7A9A" w:rsidP="00116396" w:rsidRDefault="001C7A9A" w14:paraId="0787E73A" w14:textId="77777777">
            <w:pPr>
              <w:widowControl/>
              <w:numPr>
                <w:ilvl w:val="1"/>
                <w:numId w:val="2"/>
              </w:numPr>
              <w:overflowPunct w:val="0"/>
              <w:autoSpaceDE w:val="0"/>
              <w:autoSpaceDN w:val="0"/>
              <w:adjustRightInd w:val="0"/>
              <w:contextualSpacing/>
              <w:textAlignment w:val="baseline"/>
              <w:rPr>
                <w:rFonts w:ascii="Times New Roman" w:hAnsi="Times New Roman" w:cs="Times New Roman"/>
                <w:bCs/>
                <w:sz w:val="20"/>
                <w:szCs w:val="18"/>
                <w:highlight w:val="yellow"/>
              </w:rPr>
            </w:pPr>
            <w:proofErr w:type="spellStart"/>
            <w:r w:rsidRPr="00E526B4">
              <w:rPr>
                <w:rFonts w:ascii="Times New Roman" w:hAnsi="Times New Roman" w:cs="Times New Roman"/>
                <w:bCs/>
                <w:sz w:val="20"/>
                <w:szCs w:val="18"/>
                <w:highlight w:val="yellow"/>
              </w:rPr>
              <w:t>Signalling</w:t>
            </w:r>
            <w:proofErr w:type="spellEnd"/>
            <w:r w:rsidRPr="00E526B4">
              <w:rPr>
                <w:rFonts w:ascii="Times New Roman" w:hAnsi="Times New Roman" w:cs="Times New Roman"/>
                <w:bCs/>
                <w:sz w:val="20"/>
                <w:szCs w:val="18"/>
                <w:highlight w:val="yellow"/>
              </w:rPr>
              <w:t xml:space="preserve"> and protocol aspects of Life Cycle Management (LCM) enabling functionality and model (if justified) selection, activation, deactivation, switching, fallback</w:t>
            </w:r>
          </w:p>
          <w:p w:rsidRPr="00E526B4" w:rsidR="001C7A9A" w:rsidP="00116396" w:rsidRDefault="001C7A9A" w14:paraId="03BE4090" w14:textId="77777777">
            <w:pPr>
              <w:widowControl/>
              <w:numPr>
                <w:ilvl w:val="2"/>
                <w:numId w:val="2"/>
              </w:numPr>
              <w:overflowPunct w:val="0"/>
              <w:autoSpaceDE w:val="0"/>
              <w:autoSpaceDN w:val="0"/>
              <w:adjustRightInd w:val="0"/>
              <w:contextualSpacing/>
              <w:textAlignment w:val="baseline"/>
              <w:rPr>
                <w:rFonts w:ascii="Times New Roman" w:hAnsi="Times New Roman" w:cs="Times New Roman"/>
                <w:bCs/>
                <w:sz w:val="20"/>
                <w:szCs w:val="18"/>
              </w:rPr>
            </w:pPr>
            <w:r w:rsidRPr="00E526B4">
              <w:rPr>
                <w:rFonts w:ascii="Times New Roman" w:hAnsi="Times New Roman" w:cs="Times New Roman"/>
                <w:bCs/>
                <w:sz w:val="20"/>
                <w:szCs w:val="18"/>
              </w:rPr>
              <w:t xml:space="preserve">Identification related </w:t>
            </w:r>
            <w:proofErr w:type="spellStart"/>
            <w:r w:rsidRPr="00E526B4">
              <w:rPr>
                <w:rFonts w:ascii="Times New Roman" w:hAnsi="Times New Roman" w:cs="Times New Roman"/>
                <w:bCs/>
                <w:sz w:val="20"/>
                <w:szCs w:val="18"/>
              </w:rPr>
              <w:t>signalling</w:t>
            </w:r>
            <w:proofErr w:type="spellEnd"/>
            <w:r w:rsidRPr="00E526B4">
              <w:rPr>
                <w:rFonts w:ascii="Times New Roman" w:hAnsi="Times New Roman" w:cs="Times New Roman"/>
                <w:bCs/>
                <w:sz w:val="20"/>
                <w:szCs w:val="18"/>
              </w:rPr>
              <w:t xml:space="preserve"> is part of the above objective </w:t>
            </w:r>
          </w:p>
          <w:p w:rsidRPr="00E526B4" w:rsidR="001C7A9A" w:rsidP="00116396" w:rsidRDefault="001C7A9A" w14:paraId="34BF9966" w14:textId="77777777">
            <w:pPr>
              <w:widowControl/>
              <w:numPr>
                <w:ilvl w:val="1"/>
                <w:numId w:val="2"/>
              </w:numPr>
              <w:overflowPunct w:val="0"/>
              <w:autoSpaceDE w:val="0"/>
              <w:autoSpaceDN w:val="0"/>
              <w:adjustRightInd w:val="0"/>
              <w:contextualSpacing/>
              <w:textAlignment w:val="baseline"/>
              <w:rPr>
                <w:rFonts w:ascii="Times New Roman" w:hAnsi="Times New Roman" w:cs="Times New Roman"/>
                <w:bCs/>
                <w:sz w:val="20"/>
                <w:szCs w:val="18"/>
              </w:rPr>
            </w:pPr>
            <w:r w:rsidRPr="00E526B4">
              <w:rPr>
                <w:rFonts w:ascii="Times New Roman" w:hAnsi="Times New Roman" w:cs="Times New Roman"/>
                <w:bCs/>
                <w:sz w:val="20"/>
                <w:szCs w:val="18"/>
              </w:rPr>
              <w:t xml:space="preserve">Necessary </w:t>
            </w:r>
            <w:proofErr w:type="spellStart"/>
            <w:r w:rsidRPr="00E526B4">
              <w:rPr>
                <w:rFonts w:ascii="Times New Roman" w:hAnsi="Times New Roman" w:cs="Times New Roman"/>
                <w:bCs/>
                <w:sz w:val="20"/>
                <w:szCs w:val="18"/>
              </w:rPr>
              <w:t>signalling</w:t>
            </w:r>
            <w:proofErr w:type="spellEnd"/>
            <w:r w:rsidRPr="00E526B4">
              <w:rPr>
                <w:rFonts w:ascii="Times New Roman" w:hAnsi="Times New Roman" w:cs="Times New Roman"/>
                <w:bCs/>
                <w:sz w:val="20"/>
                <w:szCs w:val="18"/>
              </w:rPr>
              <w:t>/mechanism(s) for LCM to facilitate model training, inference, performance monitoring, data collection (except for the purpose of CN/OAM/OTT collection of UE-sided model training data) for both UE-sided and NW-sided models</w:t>
            </w:r>
          </w:p>
          <w:p w:rsidRPr="001C7A9A" w:rsidR="001C7A9A" w:rsidP="00116396" w:rsidRDefault="001C7A9A" w14:paraId="7AEFA45A" w14:textId="6EF163E7">
            <w:pPr>
              <w:widowControl/>
              <w:numPr>
                <w:ilvl w:val="1"/>
                <w:numId w:val="2"/>
              </w:numPr>
              <w:overflowPunct w:val="0"/>
              <w:autoSpaceDE w:val="0"/>
              <w:autoSpaceDN w:val="0"/>
              <w:adjustRightInd w:val="0"/>
              <w:contextualSpacing/>
              <w:textAlignment w:val="baseline"/>
              <w:rPr>
                <w:bCs/>
              </w:rPr>
            </w:pPr>
            <w:proofErr w:type="spellStart"/>
            <w:r w:rsidRPr="00E526B4">
              <w:rPr>
                <w:rFonts w:ascii="Times New Roman" w:hAnsi="Times New Roman" w:cs="Times New Roman"/>
                <w:bCs/>
                <w:sz w:val="20"/>
                <w:szCs w:val="18"/>
              </w:rPr>
              <w:t>Signalling</w:t>
            </w:r>
            <w:proofErr w:type="spellEnd"/>
            <w:r w:rsidRPr="00E526B4">
              <w:rPr>
                <w:rFonts w:ascii="Times New Roman" w:hAnsi="Times New Roman" w:cs="Times New Roman"/>
                <w:bCs/>
                <w:sz w:val="20"/>
                <w:szCs w:val="18"/>
              </w:rPr>
              <w:t xml:space="preserve"> mechanism of applicable functionalities/models</w:t>
            </w:r>
          </w:p>
        </w:tc>
      </w:tr>
    </w:tbl>
    <w:p w:rsidRPr="00067AB9" w:rsidR="00067AB9" w:rsidP="006F7258" w:rsidRDefault="00067AB9" w14:paraId="0A243CED" w14:textId="77777777">
      <w:pPr>
        <w:snapToGrid w:val="0"/>
        <w:contextualSpacing/>
        <w:rPr>
          <w:rFonts w:ascii="Arial" w:hAnsi="Arial" w:cs="Arial"/>
        </w:rPr>
      </w:pPr>
    </w:p>
    <w:p w:rsidRPr="006F7258" w:rsidR="006F7258" w:rsidP="006F7258" w:rsidRDefault="006F7258" w14:paraId="762950A0" w14:textId="77777777">
      <w:pPr>
        <w:pStyle w:val="1"/>
        <w:numPr>
          <w:ilvl w:val="0"/>
          <w:numId w:val="1"/>
        </w:numPr>
        <w:snapToGrid w:val="0"/>
        <w:spacing w:before="180" w:beforeLines="50" w:after="360" w:afterLines="100"/>
        <w:contextualSpacing/>
        <w:jc w:val="both"/>
        <w:rPr>
          <w:rFonts w:cs="Arial"/>
          <w:sz w:val="32"/>
          <w:lang w:eastAsia="zh-TW"/>
        </w:rPr>
      </w:pPr>
      <w:r w:rsidRPr="006F7258">
        <w:rPr>
          <w:rFonts w:cs="Arial"/>
          <w:sz w:val="32"/>
          <w:lang w:eastAsia="zh-TW"/>
        </w:rPr>
        <w:t xml:space="preserve">Discussion </w:t>
      </w:r>
    </w:p>
    <w:p w:rsidRPr="001C7A9A" w:rsidR="006F7258" w:rsidP="00116396" w:rsidRDefault="00067AB9" w14:paraId="2A07065C" w14:textId="2CBC54F1">
      <w:pPr>
        <w:contextualSpacing/>
        <w:rPr>
          <w:rFonts w:ascii="Arial" w:hAnsi="Arial" w:cs="Arial"/>
          <w:sz w:val="22"/>
          <w:szCs w:val="20"/>
          <w:lang w:val="en-GB"/>
        </w:rPr>
      </w:pPr>
      <w:r w:rsidRPr="001C7A9A">
        <w:rPr>
          <w:rFonts w:ascii="Arial" w:hAnsi="Arial" w:cs="Arial"/>
          <w:sz w:val="22"/>
          <w:szCs w:val="20"/>
          <w:lang w:val="en-GB"/>
        </w:rPr>
        <w:t>In RAN2 #127</w:t>
      </w:r>
      <w:r w:rsidR="005B34CD">
        <w:rPr>
          <w:rFonts w:ascii="Arial" w:hAnsi="Arial" w:cs="Arial"/>
          <w:sz w:val="22"/>
          <w:szCs w:val="20"/>
          <w:lang w:val="en-GB"/>
        </w:rPr>
        <w:t xml:space="preserve"> meeting</w:t>
      </w:r>
      <w:r w:rsidRPr="001C7A9A">
        <w:rPr>
          <w:rFonts w:ascii="Arial" w:hAnsi="Arial" w:cs="Arial"/>
          <w:sz w:val="22"/>
          <w:szCs w:val="20"/>
          <w:lang w:val="en-GB"/>
        </w:rPr>
        <w:t>, the following procedure is agreed for applicable functionality reporting and functionality configuration for UE side models.</w:t>
      </w:r>
    </w:p>
    <w:tbl>
      <w:tblPr>
        <w:tblStyle w:val="a5"/>
        <w:tblW w:w="0" w:type="auto"/>
        <w:tblLook w:val="04A0" w:firstRow="1" w:lastRow="0" w:firstColumn="1" w:lastColumn="0" w:noHBand="0" w:noVBand="1"/>
      </w:tblPr>
      <w:tblGrid>
        <w:gridCol w:w="9736"/>
      </w:tblGrid>
      <w:tr w:rsidR="00067AB9" w:rsidTr="00067AB9" w14:paraId="0072A78D" w14:textId="77777777">
        <w:tc>
          <w:tcPr>
            <w:tcW w:w="9736" w:type="dxa"/>
          </w:tcPr>
          <w:p w:rsidR="00067AB9" w:rsidP="00116396" w:rsidRDefault="00067AB9" w14:paraId="662D37EA" w14:textId="77777777">
            <w:pPr>
              <w:pStyle w:val="Doc-text2"/>
              <w:ind w:left="363"/>
              <w:contextualSpacing/>
              <w:rPr>
                <w:b/>
                <w:bCs/>
              </w:rPr>
            </w:pPr>
            <w:r>
              <w:rPr>
                <w:b/>
                <w:bCs/>
              </w:rPr>
              <w:t>Agreements on procedures</w:t>
            </w:r>
          </w:p>
          <w:p w:rsidR="00067AB9" w:rsidP="00116396" w:rsidRDefault="00067AB9" w14:paraId="6FC6EC70" w14:textId="77777777">
            <w:pPr>
              <w:pStyle w:val="Doc-text2"/>
              <w:ind w:left="363"/>
              <w:contextualSpacing/>
            </w:pPr>
            <w:r>
              <w:t>-</w:t>
            </w:r>
            <w:r>
              <w:tab/>
            </w:r>
            <w:r>
              <w:t xml:space="preserve">Step 1: Network sends </w:t>
            </w:r>
            <w:proofErr w:type="spellStart"/>
            <w:r>
              <w:t>UECapabilityEnqiry</w:t>
            </w:r>
            <w:proofErr w:type="spellEnd"/>
            <w:r>
              <w:t xml:space="preserve"> message to initiate the procedure to a UE reporting its AI/ML supported functionalities. </w:t>
            </w:r>
          </w:p>
          <w:p w:rsidR="00067AB9" w:rsidP="00116396" w:rsidRDefault="00067AB9" w14:paraId="3D697C20" w14:textId="77777777">
            <w:pPr>
              <w:pStyle w:val="Doc-text2"/>
              <w:ind w:left="363"/>
              <w:contextualSpacing/>
            </w:pPr>
            <w:r>
              <w:t>-</w:t>
            </w:r>
            <w:r>
              <w:tab/>
            </w:r>
            <w:r>
              <w:t xml:space="preserve">Step 2: UE sends </w:t>
            </w:r>
            <w:proofErr w:type="spellStart"/>
            <w:r>
              <w:t>UECapablityInformation</w:t>
            </w:r>
            <w:proofErr w:type="spellEnd"/>
            <w:r>
              <w:t xml:space="preserve"> message to network, containing supported functionalities at the UE side.</w:t>
            </w:r>
          </w:p>
          <w:p w:rsidR="00067AB9" w:rsidP="00116396" w:rsidRDefault="00067AB9" w14:paraId="12CB9FC9" w14:textId="77777777">
            <w:pPr>
              <w:pStyle w:val="Doc-text2"/>
              <w:ind w:left="363"/>
              <w:contextualSpacing/>
            </w:pPr>
            <w:r>
              <w:t>-</w:t>
            </w:r>
            <w:r>
              <w:tab/>
            </w:r>
            <w:r>
              <w:t>“Step 3”: Following configurations are provided from NW to UE:</w:t>
            </w:r>
          </w:p>
          <w:p w:rsidR="00067AB9" w:rsidP="00116396" w:rsidRDefault="00067AB9" w14:paraId="28BD926D" w14:textId="77777777">
            <w:pPr>
              <w:pStyle w:val="Doc-text2"/>
              <w:ind w:left="726"/>
              <w:contextualSpacing/>
            </w:pPr>
            <w:r>
              <w:t xml:space="preserve">1) UE is allowed to do UAI reporting via </w:t>
            </w:r>
            <w:proofErr w:type="spellStart"/>
            <w:r>
              <w:t>OtherConfig</w:t>
            </w:r>
            <w:proofErr w:type="spellEnd"/>
            <w:r>
              <w:t>.</w:t>
            </w:r>
          </w:p>
          <w:p w:rsidR="00067AB9" w:rsidP="00116396" w:rsidRDefault="00067AB9" w14:paraId="0BA7201D" w14:textId="77777777">
            <w:pPr>
              <w:pStyle w:val="Doc-text2"/>
              <w:ind w:left="726"/>
              <w:contextualSpacing/>
            </w:pPr>
            <w:r>
              <w:t xml:space="preserve">2) Network may provide NW-side additional condition.  FFS on the RRC signalling and whether it is mandatory or optional. </w:t>
            </w:r>
          </w:p>
          <w:p w:rsidR="00067AB9" w:rsidP="00116396" w:rsidRDefault="00067AB9" w14:paraId="2587BB13" w14:textId="77777777">
            <w:pPr>
              <w:pStyle w:val="Doc-text2"/>
              <w:ind w:left="726"/>
              <w:contextualSpacing/>
            </w:pPr>
            <w:r>
              <w:t>3) FFS on configuration (e.g. inference configuration) of supported functionalities. FFS on the content of configuration.</w:t>
            </w:r>
          </w:p>
          <w:p w:rsidR="00067AB9" w:rsidP="00116396" w:rsidRDefault="00067AB9" w14:paraId="632086C4" w14:textId="77777777">
            <w:pPr>
              <w:pStyle w:val="Doc-text2"/>
              <w:ind w:left="363"/>
              <w:contextualSpacing/>
            </w:pPr>
            <w:r>
              <w:t>-</w:t>
            </w:r>
            <w:r>
              <w:tab/>
            </w:r>
            <w:r w:rsidRPr="00067AB9">
              <w:rPr>
                <w:highlight w:val="yellow"/>
              </w:rPr>
              <w:t>UE decides</w:t>
            </w:r>
            <w:bookmarkStart w:name="_Hlk176355466" w:id="3"/>
            <w:r w:rsidRPr="00067AB9">
              <w:rPr>
                <w:highlight w:val="yellow"/>
              </w:rPr>
              <w:t xml:space="preserve"> the applicable functionalities based on</w:t>
            </w:r>
            <w:bookmarkEnd w:id="3"/>
            <w:r>
              <w:t xml:space="preserve"> NW-side additional conditions (if provided), </w:t>
            </w:r>
            <w:r w:rsidRPr="00067AB9">
              <w:rPr>
                <w:highlight w:val="yellow"/>
              </w:rPr>
              <w:t>UE-side additional conditions (internally known by UE)</w:t>
            </w:r>
            <w:r>
              <w:t xml:space="preserve"> and model availability in device. FFS whether other configuration can considered by UE (e.g. inference configuration).  FFS  how the applicable functionality is decided if NW-side additional condition is not provided in step 3.</w:t>
            </w:r>
            <w:r>
              <w:rPr>
                <w:i/>
                <w:iCs/>
              </w:rPr>
              <w:t xml:space="preserve">   </w:t>
            </w:r>
          </w:p>
          <w:p w:rsidR="00067AB9" w:rsidP="00116396" w:rsidRDefault="00067AB9" w14:paraId="71DEF640" w14:textId="77777777">
            <w:pPr>
              <w:pStyle w:val="Doc-text2"/>
              <w:ind w:left="363"/>
              <w:contextualSpacing/>
            </w:pPr>
            <w:r>
              <w:t>-</w:t>
            </w:r>
            <w:r>
              <w:tab/>
            </w:r>
            <w:r w:rsidRPr="00116396">
              <w:rPr>
                <w:highlight w:val="yellow"/>
              </w:rPr>
              <w:t>“Step 4”: UE reports applicable functionality in the following scenarios:</w:t>
            </w:r>
            <w:r>
              <w:t xml:space="preserve"> </w:t>
            </w:r>
          </w:p>
          <w:p w:rsidR="00067AB9" w:rsidP="00116396" w:rsidRDefault="00067AB9" w14:paraId="1199E86B" w14:textId="77777777">
            <w:pPr>
              <w:pStyle w:val="Doc-text2"/>
              <w:ind w:left="726"/>
              <w:contextualSpacing/>
            </w:pPr>
            <w:r>
              <w:t xml:space="preserve">1) Upon being configured to provide applicable functionality and </w:t>
            </w:r>
            <w:r w:rsidRPr="00067AB9">
              <w:rPr>
                <w:highlight w:val="yellow"/>
              </w:rPr>
              <w:t>upon change of applicable functionality via UAI</w:t>
            </w:r>
          </w:p>
          <w:p w:rsidR="00067AB9" w:rsidP="00116396" w:rsidRDefault="00067AB9" w14:paraId="58760B64" w14:textId="77777777">
            <w:pPr>
              <w:pStyle w:val="Doc-text2"/>
              <w:ind w:left="726"/>
              <w:contextualSpacing/>
            </w:pPr>
            <w:r>
              <w:t xml:space="preserve">2) As response to NW-side additional condition requesting applicable functionality reporting in step 3, FFS other network configuration (e.g. inference configuration), FFS via UAI or </w:t>
            </w:r>
            <w:proofErr w:type="spellStart"/>
            <w:r>
              <w:t>RRCReconfigurationComplete</w:t>
            </w:r>
            <w:proofErr w:type="spellEnd"/>
            <w:r>
              <w:t xml:space="preserve">, etc </w:t>
            </w:r>
          </w:p>
          <w:p w:rsidR="00067AB9" w:rsidP="00116396" w:rsidRDefault="00067AB9" w14:paraId="439FCFD9" w14:textId="77777777">
            <w:pPr>
              <w:pStyle w:val="Doc-text2"/>
              <w:ind w:left="363"/>
              <w:contextualSpacing/>
            </w:pPr>
            <w:r>
              <w:t>-</w:t>
            </w:r>
            <w:r>
              <w:tab/>
            </w:r>
            <w:r>
              <w:t xml:space="preserve">Step 5: </w:t>
            </w:r>
          </w:p>
          <w:p w:rsidR="00067AB9" w:rsidP="00116396" w:rsidRDefault="00067AB9" w14:paraId="64F58D79" w14:textId="77777777">
            <w:pPr>
              <w:pStyle w:val="Doc-text2"/>
              <w:ind w:left="726"/>
              <w:contextualSpacing/>
            </w:pPr>
            <w:r>
              <w:t xml:space="preserve">1) Network configures inference configuration to UE after applicable functionality reporting, if inference configuration based on supported functionality is not provided in Step 3 (i.e. inference configuration is provided in Step 5). </w:t>
            </w:r>
          </w:p>
          <w:p w:rsidR="00067AB9" w:rsidP="00116396" w:rsidRDefault="00067AB9" w14:paraId="3B414C66" w14:textId="77777777">
            <w:pPr>
              <w:pStyle w:val="Doc-text2"/>
              <w:ind w:left="726"/>
              <w:contextualSpacing/>
            </w:pPr>
            <w:r>
              <w:t xml:space="preserve">2) If inference configuration based on supported functionality is provided in Step 3, it is up to network implementation whether to provide an updated configuration or not. </w:t>
            </w:r>
          </w:p>
          <w:p w:rsidR="00067AB9" w:rsidP="00116396" w:rsidRDefault="00067AB9" w14:paraId="531CBF0B" w14:textId="77777777">
            <w:pPr>
              <w:pStyle w:val="Doc-text2"/>
              <w:ind w:left="363"/>
              <w:contextualSpacing/>
            </w:pPr>
            <w:r>
              <w:t>-</w:t>
            </w:r>
            <w:r>
              <w:tab/>
            </w:r>
            <w:r>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t>signaling</w:t>
            </w:r>
            <w:proofErr w:type="spellEnd"/>
            <w:r>
              <w:t xml:space="preserve"> for activation/deactivation.  FFS if multiple applicable functionalities can be activated at the same time.   FFS what is the granularity of functionality</w:t>
            </w:r>
          </w:p>
          <w:p w:rsidR="00067AB9" w:rsidP="00116396" w:rsidRDefault="00067AB9" w14:paraId="10D9E89C" w14:textId="77777777">
            <w:pPr>
              <w:pStyle w:val="Doc-text2"/>
              <w:ind w:left="363"/>
              <w:contextualSpacing/>
            </w:pPr>
            <w:r>
              <w:t xml:space="preserve">-     We will write an LS to RAN1 to provide our agreements and ask specific questions that RAN2 needs to enable progress.   </w:t>
            </w:r>
          </w:p>
          <w:p w:rsidRPr="00067AB9" w:rsidR="00067AB9" w:rsidP="006F7258" w:rsidRDefault="00067AB9" w14:paraId="71AC7789" w14:textId="77777777">
            <w:pPr>
              <w:snapToGrid w:val="0"/>
              <w:contextualSpacing/>
              <w:rPr>
                <w:rFonts w:ascii="Arial" w:hAnsi="Arial" w:cs="Arial"/>
                <w:lang w:val="en-GB"/>
              </w:rPr>
            </w:pPr>
          </w:p>
        </w:tc>
      </w:tr>
    </w:tbl>
    <w:p w:rsidR="00CF3EEE" w:rsidP="00116396" w:rsidRDefault="00E526B4" w14:paraId="098E6456" w14:textId="59A399B1">
      <w:pPr>
        <w:rPr>
          <w:rFonts w:ascii="Arial" w:hAnsi="Arial" w:cs="Arial"/>
          <w:sz w:val="22"/>
          <w:szCs w:val="20"/>
          <w:lang w:val="en-GB"/>
        </w:rPr>
      </w:pPr>
      <w:r w:rsidRPr="00E526B4">
        <w:rPr>
          <w:rFonts w:hint="eastAsia" w:ascii="Arial" w:hAnsi="Arial" w:cs="Arial"/>
          <w:sz w:val="22"/>
          <w:szCs w:val="20"/>
          <w:lang w:val="en-GB"/>
        </w:rPr>
        <w:t>F</w:t>
      </w:r>
      <w:r w:rsidRPr="00E526B4">
        <w:rPr>
          <w:rFonts w:ascii="Arial" w:hAnsi="Arial" w:cs="Arial"/>
          <w:sz w:val="22"/>
          <w:szCs w:val="20"/>
          <w:lang w:val="en-GB"/>
        </w:rPr>
        <w:t xml:space="preserve">rom the </w:t>
      </w:r>
      <w:r>
        <w:rPr>
          <w:rFonts w:ascii="Arial" w:hAnsi="Arial" w:cs="Arial"/>
          <w:sz w:val="22"/>
          <w:szCs w:val="20"/>
          <w:lang w:val="en-GB"/>
        </w:rPr>
        <w:t xml:space="preserve">agreements, UE may decide </w:t>
      </w:r>
      <w:r w:rsidRPr="00E526B4">
        <w:rPr>
          <w:rFonts w:ascii="Arial" w:hAnsi="Arial" w:cs="Arial"/>
          <w:sz w:val="22"/>
          <w:szCs w:val="20"/>
          <w:lang w:val="en-GB"/>
        </w:rPr>
        <w:t>the applicable functionalities based on</w:t>
      </w:r>
      <w:r w:rsidRPr="00E526B4">
        <w:t xml:space="preserve"> </w:t>
      </w:r>
      <w:r w:rsidRPr="00E526B4">
        <w:rPr>
          <w:rFonts w:ascii="Arial" w:hAnsi="Arial" w:cs="Arial"/>
          <w:sz w:val="22"/>
          <w:szCs w:val="20"/>
          <w:lang w:val="en-GB"/>
        </w:rPr>
        <w:t>UE-side additional conditions (internally known by UE)</w:t>
      </w:r>
      <w:r w:rsidR="00116396">
        <w:rPr>
          <w:rFonts w:ascii="Arial" w:hAnsi="Arial" w:cs="Arial"/>
          <w:sz w:val="22"/>
          <w:szCs w:val="20"/>
          <w:lang w:val="en-GB"/>
        </w:rPr>
        <w:t xml:space="preserve">, and report applicable functionalities </w:t>
      </w:r>
      <w:r w:rsidRPr="00116396" w:rsidR="00116396">
        <w:rPr>
          <w:rFonts w:ascii="Arial" w:hAnsi="Arial" w:cs="Arial"/>
          <w:sz w:val="22"/>
          <w:szCs w:val="20"/>
          <w:lang w:val="en-GB"/>
        </w:rPr>
        <w:t>upon change of applicable functionality via UAI</w:t>
      </w:r>
      <w:r w:rsidR="00116396">
        <w:rPr>
          <w:rFonts w:ascii="Arial" w:hAnsi="Arial" w:cs="Arial"/>
          <w:sz w:val="22"/>
          <w:szCs w:val="20"/>
          <w:lang w:val="en-GB"/>
        </w:rPr>
        <w:t>.</w:t>
      </w:r>
    </w:p>
    <w:p w:rsidR="00CF3EEE" w:rsidP="00CF3EEE" w:rsidRDefault="00CF3EEE" w14:paraId="4D2BA616" w14:textId="1E8F6719">
      <w:pPr>
        <w:rPr>
          <w:rFonts w:ascii="Arial" w:hAnsi="Arial" w:cs="Arial"/>
          <w:b/>
          <w:bCs/>
          <w:sz w:val="22"/>
          <w:szCs w:val="20"/>
        </w:rPr>
      </w:pPr>
    </w:p>
    <w:p w:rsidR="00CF3EEE" w:rsidP="00CF3EEE" w:rsidRDefault="00826EE9" w14:paraId="7E72DA08" w14:textId="4A3ABCC7">
      <w:pPr>
        <w:rPr>
          <w:rFonts w:ascii="Arial" w:hAnsi="Arial" w:cs="Arial"/>
          <w:sz w:val="22"/>
          <w:szCs w:val="20"/>
        </w:rPr>
      </w:pPr>
      <w:r>
        <w:rPr>
          <w:rFonts w:ascii="Arial" w:hAnsi="Arial" w:cs="Arial"/>
          <w:sz w:val="22"/>
          <w:szCs w:val="20"/>
        </w:rPr>
        <w:t xml:space="preserve">After the UE has reported the applicable functionalities, the network could activate the functionality of the UE. And the </w:t>
      </w:r>
      <w:r w:rsidRPr="007046C6" w:rsidR="007046C6">
        <w:rPr>
          <w:rFonts w:ascii="Arial" w:hAnsi="Arial" w:cs="Arial"/>
          <w:sz w:val="22"/>
          <w:szCs w:val="20"/>
        </w:rPr>
        <w:t>UE may</w:t>
      </w:r>
      <w:r w:rsidR="00D35C94">
        <w:rPr>
          <w:rFonts w:ascii="Arial" w:hAnsi="Arial" w:cs="Arial"/>
          <w:sz w:val="22"/>
          <w:szCs w:val="20"/>
        </w:rPr>
        <w:t xml:space="preserve"> continue to evaluate </w:t>
      </w:r>
      <w:r w:rsidR="00066E10">
        <w:rPr>
          <w:rFonts w:ascii="Arial" w:hAnsi="Arial" w:cs="Arial"/>
          <w:sz w:val="22"/>
          <w:szCs w:val="20"/>
        </w:rPr>
        <w:t>the applicable functionalities when performing inference, and</w:t>
      </w:r>
      <w:r w:rsidRPr="007046C6" w:rsidR="007046C6">
        <w:rPr>
          <w:rFonts w:ascii="Arial" w:hAnsi="Arial" w:cs="Arial"/>
          <w:sz w:val="22"/>
          <w:szCs w:val="20"/>
        </w:rPr>
        <w:t xml:space="preserve"> decide a functionality to be not applicable after the functionality is activated due to</w:t>
      </w:r>
      <w:r w:rsidR="00CB70FD">
        <w:rPr>
          <w:rFonts w:ascii="Arial" w:hAnsi="Arial" w:cs="Arial"/>
          <w:sz w:val="22"/>
          <w:szCs w:val="20"/>
        </w:rPr>
        <w:t xml:space="preserve"> UE-side additional condition </w:t>
      </w:r>
      <w:r w:rsidR="006733E3">
        <w:rPr>
          <w:rFonts w:ascii="Arial" w:hAnsi="Arial" w:cs="Arial"/>
          <w:sz w:val="22"/>
          <w:szCs w:val="20"/>
        </w:rPr>
        <w:t>changes (e.g.,</w:t>
      </w:r>
      <w:r w:rsidRPr="007046C6" w:rsidR="007046C6">
        <w:rPr>
          <w:rFonts w:ascii="Arial" w:hAnsi="Arial" w:cs="Arial"/>
          <w:sz w:val="22"/>
          <w:szCs w:val="20"/>
        </w:rPr>
        <w:t xml:space="preserve"> internal issues</w:t>
      </w:r>
      <w:r w:rsidR="006733E3">
        <w:rPr>
          <w:rFonts w:ascii="Arial" w:hAnsi="Arial" w:cs="Arial"/>
          <w:sz w:val="22"/>
          <w:szCs w:val="20"/>
        </w:rPr>
        <w:t>)</w:t>
      </w:r>
      <w:r w:rsidRPr="007046C6" w:rsidR="007046C6">
        <w:rPr>
          <w:rFonts w:ascii="Arial" w:hAnsi="Arial" w:cs="Arial"/>
          <w:sz w:val="22"/>
          <w:szCs w:val="20"/>
        </w:rPr>
        <w:t xml:space="preserve">, that </w:t>
      </w:r>
      <w:r>
        <w:rPr>
          <w:rFonts w:ascii="Arial" w:hAnsi="Arial" w:cs="Arial"/>
          <w:sz w:val="22"/>
          <w:szCs w:val="20"/>
        </w:rPr>
        <w:t xml:space="preserve">the </w:t>
      </w:r>
      <w:r w:rsidRPr="007046C6" w:rsidR="007046C6">
        <w:rPr>
          <w:rFonts w:ascii="Arial" w:hAnsi="Arial" w:cs="Arial"/>
          <w:sz w:val="22"/>
          <w:szCs w:val="20"/>
        </w:rPr>
        <w:t xml:space="preserve">UE </w:t>
      </w:r>
      <w:r w:rsidRPr="007046C6" w:rsidR="00164DBC">
        <w:rPr>
          <w:rFonts w:ascii="Arial" w:hAnsi="Arial" w:cs="Arial"/>
          <w:sz w:val="22"/>
          <w:szCs w:val="20"/>
        </w:rPr>
        <w:t>cannot</w:t>
      </w:r>
      <w:r w:rsidRPr="007046C6" w:rsidR="007046C6">
        <w:rPr>
          <w:rFonts w:ascii="Arial" w:hAnsi="Arial" w:cs="Arial"/>
          <w:sz w:val="22"/>
          <w:szCs w:val="20"/>
        </w:rPr>
        <w:t xml:space="preserve"> perform inference.</w:t>
      </w:r>
      <w:r w:rsidR="00955620">
        <w:rPr>
          <w:rFonts w:ascii="Arial" w:hAnsi="Arial" w:cs="Arial"/>
          <w:sz w:val="22"/>
          <w:szCs w:val="20"/>
        </w:rPr>
        <w:t xml:space="preserve"> After </w:t>
      </w:r>
      <w:r w:rsidR="00FF50DA">
        <w:rPr>
          <w:rFonts w:ascii="Arial" w:hAnsi="Arial" w:cs="Arial"/>
          <w:sz w:val="22"/>
          <w:szCs w:val="20"/>
        </w:rPr>
        <w:t>determin</w:t>
      </w:r>
      <w:r>
        <w:rPr>
          <w:rFonts w:ascii="Arial" w:hAnsi="Arial" w:cs="Arial"/>
          <w:sz w:val="22"/>
          <w:szCs w:val="20"/>
        </w:rPr>
        <w:t>ing</w:t>
      </w:r>
      <w:r w:rsidR="00FF50DA">
        <w:rPr>
          <w:rFonts w:ascii="Arial" w:hAnsi="Arial" w:cs="Arial"/>
          <w:sz w:val="22"/>
          <w:szCs w:val="20"/>
        </w:rPr>
        <w:t xml:space="preserve"> a functionality to be not applicable, </w:t>
      </w:r>
      <w:r>
        <w:rPr>
          <w:rFonts w:ascii="Arial" w:hAnsi="Arial" w:cs="Arial"/>
          <w:sz w:val="22"/>
          <w:szCs w:val="20"/>
        </w:rPr>
        <w:t xml:space="preserve">the </w:t>
      </w:r>
      <w:r w:rsidR="00FF50DA">
        <w:rPr>
          <w:rFonts w:ascii="Arial" w:hAnsi="Arial" w:cs="Arial"/>
          <w:sz w:val="22"/>
          <w:szCs w:val="20"/>
        </w:rPr>
        <w:t>UE updates the applicable functionalities through UAI reporting to NW.</w:t>
      </w:r>
    </w:p>
    <w:p w:rsidR="007046C6" w:rsidP="00CF3EEE" w:rsidRDefault="007046C6" w14:paraId="354AAB62" w14:textId="0C9D9796">
      <w:pPr>
        <w:rPr>
          <w:rFonts w:ascii="Arial" w:hAnsi="Arial" w:cs="Arial"/>
          <w:sz w:val="22"/>
          <w:szCs w:val="20"/>
        </w:rPr>
      </w:pPr>
    </w:p>
    <w:p w:rsidR="007046C6" w:rsidP="007046C6" w:rsidRDefault="007046C6" w14:paraId="61922844" w14:textId="379C86AE">
      <w:pPr>
        <w:rPr>
          <w:rFonts w:ascii="Arial" w:hAnsi="Arial" w:cs="Arial"/>
          <w:b/>
          <w:bCs/>
          <w:sz w:val="22"/>
          <w:szCs w:val="20"/>
        </w:rPr>
      </w:pPr>
      <w:r w:rsidRPr="002C593B">
        <w:rPr>
          <w:rFonts w:ascii="Arial" w:hAnsi="Arial" w:cs="Arial"/>
          <w:b/>
          <w:bCs/>
          <w:sz w:val="22"/>
          <w:szCs w:val="20"/>
        </w:rPr>
        <w:t>Observation</w:t>
      </w:r>
      <w:r>
        <w:rPr>
          <w:rFonts w:ascii="Arial" w:hAnsi="Arial" w:cs="Arial"/>
          <w:b/>
          <w:bCs/>
          <w:sz w:val="22"/>
          <w:szCs w:val="20"/>
        </w:rPr>
        <w:t xml:space="preserve"> </w:t>
      </w:r>
      <w:r w:rsidR="00066E10">
        <w:rPr>
          <w:rFonts w:ascii="Arial" w:hAnsi="Arial" w:cs="Arial"/>
          <w:b/>
          <w:bCs/>
          <w:sz w:val="22"/>
          <w:szCs w:val="20"/>
        </w:rPr>
        <w:t>1</w:t>
      </w:r>
      <w:r w:rsidRPr="002C593B">
        <w:rPr>
          <w:rFonts w:ascii="Arial" w:hAnsi="Arial" w:cs="Arial"/>
          <w:b/>
          <w:bCs/>
          <w:sz w:val="22"/>
          <w:szCs w:val="20"/>
        </w:rPr>
        <w:t xml:space="preserve">: When the functionality </w:t>
      </w:r>
      <w:r>
        <w:rPr>
          <w:rFonts w:ascii="Arial" w:hAnsi="Arial" w:cs="Arial"/>
          <w:b/>
          <w:bCs/>
          <w:sz w:val="22"/>
          <w:szCs w:val="20"/>
        </w:rPr>
        <w:t xml:space="preserve">becomes </w:t>
      </w:r>
      <w:r w:rsidRPr="002C593B">
        <w:rPr>
          <w:rFonts w:ascii="Arial" w:hAnsi="Arial" w:cs="Arial"/>
          <w:b/>
          <w:bCs/>
          <w:sz w:val="22"/>
          <w:szCs w:val="20"/>
        </w:rPr>
        <w:t xml:space="preserve">not applicable when activated, </w:t>
      </w:r>
      <w:r w:rsidR="00826EE9">
        <w:rPr>
          <w:rFonts w:ascii="Arial" w:hAnsi="Arial" w:cs="Arial"/>
          <w:b/>
          <w:bCs/>
          <w:sz w:val="22"/>
          <w:szCs w:val="20"/>
        </w:rPr>
        <w:t xml:space="preserve">the </w:t>
      </w:r>
      <w:r>
        <w:rPr>
          <w:rFonts w:ascii="Arial" w:hAnsi="Arial" w:cs="Arial"/>
          <w:b/>
          <w:bCs/>
          <w:sz w:val="22"/>
          <w:szCs w:val="20"/>
        </w:rPr>
        <w:t>UE</w:t>
      </w:r>
      <w:r w:rsidRPr="002C593B">
        <w:rPr>
          <w:rFonts w:ascii="Arial" w:hAnsi="Arial" w:cs="Arial"/>
          <w:b/>
          <w:bCs/>
          <w:sz w:val="22"/>
          <w:szCs w:val="20"/>
        </w:rPr>
        <w:t xml:space="preserve"> is not able to perform inference</w:t>
      </w:r>
      <w:r w:rsidR="00826EE9">
        <w:rPr>
          <w:rFonts w:ascii="Arial" w:hAnsi="Arial" w:cs="Arial"/>
          <w:b/>
          <w:bCs/>
          <w:sz w:val="22"/>
          <w:szCs w:val="20"/>
        </w:rPr>
        <w:t>,</w:t>
      </w:r>
      <w:r w:rsidR="003E77BC">
        <w:rPr>
          <w:rFonts w:ascii="Arial" w:hAnsi="Arial" w:cs="Arial"/>
          <w:b/>
          <w:bCs/>
          <w:sz w:val="22"/>
          <w:szCs w:val="20"/>
        </w:rPr>
        <w:t xml:space="preserve"> and </w:t>
      </w:r>
      <w:r w:rsidR="00826EE9">
        <w:rPr>
          <w:rFonts w:ascii="Arial" w:hAnsi="Arial" w:cs="Arial"/>
          <w:b/>
          <w:bCs/>
          <w:sz w:val="22"/>
          <w:szCs w:val="20"/>
        </w:rPr>
        <w:t xml:space="preserve">the UE </w:t>
      </w:r>
      <w:r w:rsidR="00603A4B">
        <w:rPr>
          <w:rFonts w:ascii="Arial" w:hAnsi="Arial" w:cs="Arial"/>
          <w:b/>
          <w:bCs/>
          <w:sz w:val="22"/>
          <w:szCs w:val="20"/>
        </w:rPr>
        <w:t>reports</w:t>
      </w:r>
      <w:r w:rsidR="008F2E97">
        <w:rPr>
          <w:rFonts w:ascii="Arial" w:hAnsi="Arial" w:cs="Arial"/>
          <w:b/>
          <w:bCs/>
          <w:sz w:val="22"/>
          <w:szCs w:val="20"/>
        </w:rPr>
        <w:t xml:space="preserve"> updated appli</w:t>
      </w:r>
      <w:r w:rsidR="00BA3B89">
        <w:rPr>
          <w:rFonts w:ascii="Arial" w:hAnsi="Arial" w:cs="Arial"/>
          <w:b/>
          <w:bCs/>
          <w:sz w:val="22"/>
          <w:szCs w:val="20"/>
        </w:rPr>
        <w:t>ca</w:t>
      </w:r>
      <w:r w:rsidR="008F2E97">
        <w:rPr>
          <w:rFonts w:ascii="Arial" w:hAnsi="Arial" w:cs="Arial"/>
          <w:b/>
          <w:bCs/>
          <w:sz w:val="22"/>
          <w:szCs w:val="20"/>
        </w:rPr>
        <w:t>ble functionalities</w:t>
      </w:r>
      <w:r w:rsidR="00603A4B">
        <w:rPr>
          <w:rFonts w:ascii="Arial" w:hAnsi="Arial" w:cs="Arial"/>
          <w:b/>
          <w:bCs/>
          <w:sz w:val="22"/>
          <w:szCs w:val="20"/>
        </w:rPr>
        <w:t xml:space="preserve"> to NW</w:t>
      </w:r>
      <w:r>
        <w:rPr>
          <w:rFonts w:ascii="Arial" w:hAnsi="Arial" w:cs="Arial"/>
          <w:b/>
          <w:bCs/>
          <w:sz w:val="22"/>
          <w:szCs w:val="20"/>
        </w:rPr>
        <w:t>.</w:t>
      </w:r>
    </w:p>
    <w:p w:rsidR="007046C6" w:rsidP="00CF3EEE" w:rsidRDefault="007046C6" w14:paraId="14CD05D3" w14:textId="63AB69E3">
      <w:pPr>
        <w:rPr>
          <w:rFonts w:ascii="Arial" w:hAnsi="Arial" w:cs="Arial"/>
          <w:sz w:val="22"/>
          <w:szCs w:val="20"/>
        </w:rPr>
      </w:pPr>
    </w:p>
    <w:p w:rsidR="009649EC" w:rsidP="009649EC" w:rsidRDefault="00E553C3" w14:paraId="23590434" w14:textId="1F901187">
      <w:pPr>
        <w:rPr>
          <w:rFonts w:ascii="Arial" w:hAnsi="Arial" w:cs="Arial"/>
          <w:sz w:val="22"/>
          <w:szCs w:val="20"/>
        </w:rPr>
      </w:pPr>
      <w:r>
        <w:rPr>
          <w:rFonts w:hint="eastAsia" w:ascii="Arial" w:hAnsi="Arial" w:cs="Arial"/>
          <w:sz w:val="22"/>
          <w:szCs w:val="20"/>
        </w:rPr>
        <w:t>A</w:t>
      </w:r>
      <w:r>
        <w:rPr>
          <w:rFonts w:ascii="Arial" w:hAnsi="Arial" w:cs="Arial"/>
          <w:sz w:val="22"/>
          <w:szCs w:val="20"/>
        </w:rPr>
        <w:t xml:space="preserve">fter NW receives the </w:t>
      </w:r>
      <w:r w:rsidR="00BB6B1F">
        <w:rPr>
          <w:rFonts w:ascii="Arial" w:hAnsi="Arial" w:cs="Arial"/>
          <w:sz w:val="22"/>
          <w:szCs w:val="20"/>
        </w:rPr>
        <w:t>updated applicable functionalities report, NW may reconfigure the UE or deac</w:t>
      </w:r>
      <w:r w:rsidR="00955620">
        <w:rPr>
          <w:rFonts w:ascii="Arial" w:hAnsi="Arial" w:cs="Arial"/>
          <w:sz w:val="22"/>
          <w:szCs w:val="20"/>
        </w:rPr>
        <w:t>tivate the functionality as a response.</w:t>
      </w:r>
      <w:r w:rsidR="008B1ACF">
        <w:rPr>
          <w:rFonts w:ascii="Arial" w:hAnsi="Arial" w:cs="Arial"/>
          <w:sz w:val="22"/>
          <w:szCs w:val="20"/>
        </w:rPr>
        <w:t xml:space="preserve"> In the meantime, </w:t>
      </w:r>
      <w:r w:rsidR="00826EE9">
        <w:rPr>
          <w:rFonts w:ascii="Arial" w:hAnsi="Arial" w:cs="Arial"/>
          <w:sz w:val="22"/>
          <w:szCs w:val="20"/>
        </w:rPr>
        <w:t xml:space="preserve">the </w:t>
      </w:r>
      <w:r w:rsidR="000B59ED">
        <w:rPr>
          <w:rFonts w:ascii="Arial" w:hAnsi="Arial" w:cs="Arial"/>
          <w:sz w:val="22"/>
          <w:szCs w:val="20"/>
        </w:rPr>
        <w:t>UE is not able to perform inference</w:t>
      </w:r>
      <w:r w:rsidR="00FE6859">
        <w:rPr>
          <w:rFonts w:ascii="Arial" w:hAnsi="Arial" w:cs="Arial"/>
          <w:sz w:val="22"/>
          <w:szCs w:val="20"/>
        </w:rPr>
        <w:t>. This may cause unexpected issues</w:t>
      </w:r>
      <w:r w:rsidR="00A46EB1">
        <w:rPr>
          <w:rFonts w:ascii="Arial" w:hAnsi="Arial" w:cs="Arial"/>
          <w:sz w:val="22"/>
          <w:szCs w:val="20"/>
        </w:rPr>
        <w:t>.</w:t>
      </w:r>
    </w:p>
    <w:p w:rsidR="00547EED" w:rsidP="009649EC" w:rsidRDefault="00547EED" w14:paraId="217CAD4D" w14:textId="77777777">
      <w:pPr>
        <w:rPr>
          <w:rFonts w:ascii="Arial" w:hAnsi="Arial" w:cs="Arial"/>
          <w:sz w:val="22"/>
          <w:szCs w:val="20"/>
        </w:rPr>
      </w:pPr>
    </w:p>
    <w:p w:rsidR="00547EED" w:rsidP="009649EC" w:rsidRDefault="00DC1BC6" w14:paraId="79EF7966" w14:textId="052E4ECD">
      <w:pPr>
        <w:rPr>
          <w:rFonts w:ascii="Arial" w:hAnsi="Arial" w:cs="Arial"/>
          <w:sz w:val="22"/>
          <w:szCs w:val="20"/>
        </w:rPr>
      </w:pPr>
      <w:r>
        <w:rPr>
          <w:rFonts w:ascii="Arial" w:hAnsi="Arial" w:cs="Arial"/>
          <w:noProof/>
          <w:sz w:val="22"/>
          <w:szCs w:val="20"/>
        </w:rPr>
        <w:drawing>
          <wp:inline distT="0" distB="0" distL="0" distR="0" wp14:anchorId="519FB349" wp14:editId="5BF039CC">
            <wp:extent cx="7200000" cy="2135653"/>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00000" cy="2135653"/>
                    </a:xfrm>
                    <a:prstGeom prst="rect">
                      <a:avLst/>
                    </a:prstGeom>
                    <a:noFill/>
                  </pic:spPr>
                </pic:pic>
              </a:graphicData>
            </a:graphic>
          </wp:inline>
        </w:drawing>
      </w:r>
    </w:p>
    <w:p w:rsidRPr="008E7605" w:rsidR="00981647" w:rsidP="008E7605" w:rsidRDefault="00981647" w14:paraId="3840B494" w14:textId="02F98D14">
      <w:pPr>
        <w:jc w:val="center"/>
        <w:rPr>
          <w:rFonts w:ascii="Arial" w:hAnsi="Arial" w:cs="Arial"/>
          <w:b/>
          <w:bCs/>
          <w:sz w:val="22"/>
          <w:szCs w:val="20"/>
        </w:rPr>
      </w:pPr>
      <w:r w:rsidRPr="008E7605">
        <w:rPr>
          <w:rFonts w:ascii="Arial" w:hAnsi="Arial" w:cs="Arial"/>
          <w:b/>
          <w:bCs/>
          <w:sz w:val="22"/>
          <w:szCs w:val="20"/>
        </w:rPr>
        <w:t>Figure: An example of set A prediction when the AIML functionality becomes not applicable</w:t>
      </w:r>
      <w:r w:rsidRPr="008E7605" w:rsidR="00B45747">
        <w:rPr>
          <w:rFonts w:ascii="Arial" w:hAnsi="Arial" w:cs="Arial"/>
          <w:b/>
          <w:bCs/>
          <w:sz w:val="22"/>
          <w:szCs w:val="20"/>
        </w:rPr>
        <w:t xml:space="preserve"> when the fu</w:t>
      </w:r>
      <w:r w:rsidR="00F406CA">
        <w:rPr>
          <w:rFonts w:ascii="Arial" w:hAnsi="Arial" w:cs="Arial"/>
          <w:b/>
          <w:bCs/>
          <w:sz w:val="22"/>
          <w:szCs w:val="20"/>
        </w:rPr>
        <w:t>n</w:t>
      </w:r>
      <w:r w:rsidRPr="008E7605" w:rsidR="00B45747">
        <w:rPr>
          <w:rFonts w:ascii="Arial" w:hAnsi="Arial" w:cs="Arial"/>
          <w:b/>
          <w:bCs/>
          <w:sz w:val="22"/>
          <w:szCs w:val="20"/>
        </w:rPr>
        <w:t>ctionality is activated.</w:t>
      </w:r>
    </w:p>
    <w:p w:rsidR="001932BC" w:rsidP="009649EC" w:rsidRDefault="001932BC" w14:paraId="619D5B61" w14:textId="77777777">
      <w:pPr>
        <w:rPr>
          <w:rFonts w:ascii="Arial" w:hAnsi="Arial" w:cs="Arial"/>
          <w:sz w:val="22"/>
          <w:szCs w:val="20"/>
        </w:rPr>
      </w:pPr>
    </w:p>
    <w:p w:rsidR="00D82326" w:rsidP="009649EC" w:rsidRDefault="009649EC" w14:paraId="70E8343A" w14:textId="121AA4F9">
      <w:pPr>
        <w:rPr>
          <w:rFonts w:ascii="Arial" w:hAnsi="Arial" w:cs="Arial"/>
          <w:sz w:val="22"/>
          <w:szCs w:val="20"/>
        </w:rPr>
      </w:pPr>
      <w:r>
        <w:rPr>
          <w:rFonts w:hint="eastAsia" w:ascii="Arial" w:hAnsi="Arial" w:cs="Arial"/>
          <w:sz w:val="22"/>
          <w:szCs w:val="20"/>
        </w:rPr>
        <w:t>F</w:t>
      </w:r>
      <w:r>
        <w:rPr>
          <w:rFonts w:ascii="Arial" w:hAnsi="Arial" w:cs="Arial"/>
          <w:sz w:val="22"/>
          <w:szCs w:val="20"/>
        </w:rPr>
        <w:t xml:space="preserve">or Beam Management, </w:t>
      </w:r>
      <w:r w:rsidR="00826EE9">
        <w:rPr>
          <w:rFonts w:ascii="Arial" w:hAnsi="Arial" w:cs="Arial"/>
          <w:sz w:val="22"/>
          <w:szCs w:val="20"/>
        </w:rPr>
        <w:t xml:space="preserve">the </w:t>
      </w:r>
      <w:r>
        <w:rPr>
          <w:rFonts w:ascii="Arial" w:hAnsi="Arial" w:cs="Arial"/>
          <w:sz w:val="22"/>
          <w:szCs w:val="20"/>
        </w:rPr>
        <w:t xml:space="preserve">UE predicts set A of beams </w:t>
      </w:r>
      <w:r w:rsidR="00A4565A">
        <w:rPr>
          <w:rFonts w:ascii="Arial" w:hAnsi="Arial" w:cs="Arial"/>
          <w:sz w:val="22"/>
          <w:szCs w:val="20"/>
        </w:rPr>
        <w:t>by</w:t>
      </w:r>
      <w:r>
        <w:rPr>
          <w:rFonts w:ascii="Arial" w:hAnsi="Arial" w:cs="Arial"/>
          <w:sz w:val="22"/>
          <w:szCs w:val="20"/>
        </w:rPr>
        <w:t xml:space="preserve"> measuring set B of beams. </w:t>
      </w:r>
      <w:r w:rsidR="00D82326">
        <w:rPr>
          <w:rFonts w:ascii="Arial" w:hAnsi="Arial" w:cs="Arial"/>
          <w:sz w:val="22"/>
          <w:szCs w:val="20"/>
        </w:rPr>
        <w:t xml:space="preserve">When </w:t>
      </w:r>
      <w:r w:rsidR="00826EE9">
        <w:rPr>
          <w:rFonts w:ascii="Arial" w:hAnsi="Arial" w:cs="Arial"/>
          <w:sz w:val="22"/>
          <w:szCs w:val="20"/>
        </w:rPr>
        <w:t xml:space="preserve">the </w:t>
      </w:r>
      <w:r w:rsidR="00D82326">
        <w:rPr>
          <w:rFonts w:ascii="Arial" w:hAnsi="Arial" w:cs="Arial"/>
          <w:sz w:val="22"/>
          <w:szCs w:val="20"/>
        </w:rPr>
        <w:t xml:space="preserve">UE is not able to perform inference, </w:t>
      </w:r>
      <w:r w:rsidR="005B1DEC">
        <w:rPr>
          <w:rFonts w:ascii="Arial" w:hAnsi="Arial" w:cs="Arial"/>
          <w:sz w:val="22"/>
          <w:szCs w:val="20"/>
        </w:rPr>
        <w:t xml:space="preserve">that is, </w:t>
      </w:r>
      <w:r w:rsidR="00826EE9">
        <w:rPr>
          <w:rFonts w:ascii="Arial" w:hAnsi="Arial" w:cs="Arial"/>
          <w:sz w:val="22"/>
          <w:szCs w:val="20"/>
        </w:rPr>
        <w:t xml:space="preserve">the </w:t>
      </w:r>
      <w:r w:rsidR="005B1DEC">
        <w:rPr>
          <w:rFonts w:ascii="Arial" w:hAnsi="Arial" w:cs="Arial"/>
          <w:sz w:val="22"/>
          <w:szCs w:val="20"/>
        </w:rPr>
        <w:t>UE measures set B of beams but cannot predict set A of beams</w:t>
      </w:r>
      <w:r w:rsidR="00B33A0D">
        <w:rPr>
          <w:rFonts w:ascii="Arial" w:hAnsi="Arial" w:cs="Arial"/>
          <w:sz w:val="22"/>
          <w:szCs w:val="20"/>
        </w:rPr>
        <w:t xml:space="preserve">, there </w:t>
      </w:r>
      <w:r w:rsidR="002E4BC5">
        <w:rPr>
          <w:rFonts w:ascii="Arial" w:hAnsi="Arial" w:cs="Arial"/>
          <w:sz w:val="22"/>
          <w:szCs w:val="20"/>
        </w:rPr>
        <w:t>may</w:t>
      </w:r>
      <w:r w:rsidR="00B33A0D">
        <w:rPr>
          <w:rFonts w:ascii="Arial" w:hAnsi="Arial" w:cs="Arial"/>
          <w:sz w:val="22"/>
          <w:szCs w:val="20"/>
        </w:rPr>
        <w:t xml:space="preserve"> be no set A measurements to report during the time gap between </w:t>
      </w:r>
      <w:r w:rsidR="00BA3B89">
        <w:rPr>
          <w:rFonts w:ascii="Arial" w:hAnsi="Arial" w:cs="Arial"/>
          <w:sz w:val="22"/>
          <w:szCs w:val="20"/>
        </w:rPr>
        <w:t>NW response and UE detection of internal issues.</w:t>
      </w:r>
    </w:p>
    <w:p w:rsidR="004F4B5A" w:rsidP="009649EC" w:rsidRDefault="004F4B5A" w14:paraId="665378A3" w14:textId="77777777">
      <w:pPr>
        <w:rPr>
          <w:rFonts w:ascii="Arial" w:hAnsi="Arial" w:cs="Arial"/>
          <w:sz w:val="22"/>
          <w:szCs w:val="20"/>
        </w:rPr>
      </w:pPr>
    </w:p>
    <w:p w:rsidR="004F2C90" w:rsidP="00B20C9B" w:rsidRDefault="004F2C90" w14:paraId="5B0BF0C3" w14:textId="34DDA487">
      <w:pPr>
        <w:rPr>
          <w:rFonts w:ascii="Arial" w:hAnsi="Arial" w:cs="Arial"/>
          <w:sz w:val="22"/>
          <w:szCs w:val="20"/>
        </w:rPr>
      </w:pPr>
      <w:r>
        <w:rPr>
          <w:rFonts w:ascii="Arial" w:hAnsi="Arial" w:cs="Arial"/>
          <w:sz w:val="22"/>
          <w:szCs w:val="20"/>
        </w:rPr>
        <w:t>Based on the difference between the set A and the set B of beams, there could be 3 following cases:</w:t>
      </w:r>
    </w:p>
    <w:p w:rsidR="005114CF" w:rsidP="00B20C9B" w:rsidRDefault="004F2C90" w14:paraId="6CCA407A" w14:textId="15AAF789">
      <w:pPr>
        <w:rPr>
          <w:rFonts w:ascii="Arial" w:hAnsi="Arial" w:cs="Arial"/>
          <w:sz w:val="22"/>
          <w:szCs w:val="20"/>
        </w:rPr>
      </w:pPr>
      <w:r>
        <w:rPr>
          <w:rFonts w:ascii="Arial" w:hAnsi="Arial" w:cs="Arial"/>
          <w:sz w:val="22"/>
          <w:szCs w:val="20"/>
        </w:rPr>
        <w:t xml:space="preserve">Case 1: </w:t>
      </w:r>
      <w:r w:rsidR="00CC288E">
        <w:rPr>
          <w:rFonts w:ascii="Arial" w:hAnsi="Arial" w:cs="Arial"/>
          <w:sz w:val="22"/>
          <w:szCs w:val="20"/>
        </w:rPr>
        <w:t xml:space="preserve">The set B of beams </w:t>
      </w:r>
      <w:r>
        <w:rPr>
          <w:rFonts w:ascii="Arial" w:hAnsi="Arial" w:cs="Arial"/>
          <w:sz w:val="22"/>
          <w:szCs w:val="20"/>
        </w:rPr>
        <w:t xml:space="preserve">is </w:t>
      </w:r>
      <w:r w:rsidR="009F25AD">
        <w:rPr>
          <w:rFonts w:ascii="Arial" w:hAnsi="Arial" w:cs="Arial"/>
          <w:sz w:val="22"/>
          <w:szCs w:val="20"/>
        </w:rPr>
        <w:t xml:space="preserve">different from </w:t>
      </w:r>
      <w:r w:rsidR="00CC288E">
        <w:rPr>
          <w:rFonts w:ascii="Arial" w:hAnsi="Arial" w:cs="Arial"/>
          <w:sz w:val="22"/>
          <w:szCs w:val="20"/>
        </w:rPr>
        <w:t>set A</w:t>
      </w:r>
      <w:r w:rsidR="009F25AD">
        <w:rPr>
          <w:rFonts w:ascii="Arial" w:hAnsi="Arial" w:cs="Arial"/>
          <w:sz w:val="22"/>
          <w:szCs w:val="20"/>
        </w:rPr>
        <w:t xml:space="preserve"> (i.e., not a subset of set A)</w:t>
      </w:r>
      <w:r w:rsidR="00716BA9">
        <w:rPr>
          <w:rFonts w:ascii="Arial" w:hAnsi="Arial" w:cs="Arial"/>
          <w:sz w:val="22"/>
          <w:szCs w:val="20"/>
        </w:rPr>
        <w:t xml:space="preserve"> </w:t>
      </w:r>
    </w:p>
    <w:p w:rsidR="004F2C90" w:rsidP="008E7605" w:rsidRDefault="00716BA9" w14:paraId="30706CE9" w14:textId="77777777">
      <w:pPr>
        <w:ind w:left="425" w:leftChars="177"/>
        <w:rPr>
          <w:rFonts w:ascii="Arial" w:hAnsi="Arial" w:cs="Arial"/>
          <w:sz w:val="22"/>
          <w:szCs w:val="20"/>
        </w:rPr>
      </w:pPr>
      <w:r>
        <w:rPr>
          <w:rFonts w:ascii="Arial" w:hAnsi="Arial" w:cs="Arial"/>
          <w:sz w:val="22"/>
          <w:szCs w:val="20"/>
        </w:rPr>
        <w:t xml:space="preserve">When the set B of beams is different from set A, </w:t>
      </w:r>
      <w:r w:rsidR="00614F89">
        <w:rPr>
          <w:rFonts w:ascii="Arial" w:hAnsi="Arial" w:cs="Arial"/>
          <w:sz w:val="22"/>
          <w:szCs w:val="20"/>
        </w:rPr>
        <w:t xml:space="preserve">stopping the inference may affect the ongoing beam management as </w:t>
      </w:r>
      <w:r w:rsidR="007570D3">
        <w:rPr>
          <w:rFonts w:ascii="Arial" w:hAnsi="Arial" w:cs="Arial"/>
          <w:sz w:val="22"/>
          <w:szCs w:val="20"/>
        </w:rPr>
        <w:t xml:space="preserve">measurement of set A of beams will be completely missing. </w:t>
      </w:r>
    </w:p>
    <w:p w:rsidR="004F2C90" w:rsidP="00B20C9B" w:rsidRDefault="004F2C90" w14:paraId="58A6A6BE" w14:textId="77777777">
      <w:pPr>
        <w:rPr>
          <w:rFonts w:ascii="Arial" w:hAnsi="Arial" w:cs="Arial"/>
          <w:sz w:val="22"/>
          <w:szCs w:val="20"/>
        </w:rPr>
      </w:pPr>
      <w:r>
        <w:rPr>
          <w:rFonts w:ascii="Arial" w:hAnsi="Arial" w:cs="Arial"/>
          <w:sz w:val="22"/>
          <w:szCs w:val="20"/>
        </w:rPr>
        <w:t>Case 2: The set B of beams is a subset of set A:</w:t>
      </w:r>
    </w:p>
    <w:p w:rsidR="004F2C90" w:rsidP="008E7605" w:rsidRDefault="007570D3" w14:paraId="188C726B" w14:textId="77777777">
      <w:pPr>
        <w:ind w:left="425" w:leftChars="177"/>
        <w:rPr>
          <w:rFonts w:ascii="Arial" w:hAnsi="Arial" w:cs="Arial"/>
          <w:sz w:val="22"/>
          <w:szCs w:val="20"/>
        </w:rPr>
      </w:pPr>
      <w:r>
        <w:rPr>
          <w:rFonts w:ascii="Arial" w:hAnsi="Arial" w:cs="Arial"/>
          <w:sz w:val="22"/>
          <w:szCs w:val="20"/>
        </w:rPr>
        <w:t xml:space="preserve">When the set B of beams if a subset of </w:t>
      </w:r>
      <w:r w:rsidR="002710DF">
        <w:rPr>
          <w:rFonts w:ascii="Arial" w:hAnsi="Arial" w:cs="Arial"/>
          <w:sz w:val="22"/>
          <w:szCs w:val="20"/>
        </w:rPr>
        <w:t>set A, stopping the inference</w:t>
      </w:r>
      <w:r w:rsidR="003F7825">
        <w:rPr>
          <w:rFonts w:ascii="Arial" w:hAnsi="Arial" w:cs="Arial"/>
          <w:sz w:val="22"/>
          <w:szCs w:val="20"/>
        </w:rPr>
        <w:t xml:space="preserve"> </w:t>
      </w:r>
      <w:r w:rsidR="00B24621">
        <w:rPr>
          <w:rFonts w:ascii="Arial" w:hAnsi="Arial" w:cs="Arial"/>
          <w:sz w:val="22"/>
          <w:szCs w:val="20"/>
        </w:rPr>
        <w:t>may affect the ongoing beam management</w:t>
      </w:r>
      <w:r w:rsidR="009C2574">
        <w:rPr>
          <w:rFonts w:ascii="Arial" w:hAnsi="Arial" w:cs="Arial"/>
          <w:sz w:val="22"/>
          <w:szCs w:val="20"/>
        </w:rPr>
        <w:t xml:space="preserve"> as </w:t>
      </w:r>
      <w:r w:rsidR="00A575D9">
        <w:rPr>
          <w:rFonts w:ascii="Arial" w:hAnsi="Arial" w:cs="Arial"/>
          <w:sz w:val="22"/>
          <w:szCs w:val="20"/>
        </w:rPr>
        <w:t>the number of beams measured may not be sufficient</w:t>
      </w:r>
      <w:r w:rsidR="00B24621">
        <w:rPr>
          <w:rFonts w:ascii="Arial" w:hAnsi="Arial" w:cs="Arial"/>
          <w:sz w:val="22"/>
          <w:szCs w:val="20"/>
        </w:rPr>
        <w:t xml:space="preserve">. </w:t>
      </w:r>
    </w:p>
    <w:p w:rsidR="004F2C90" w:rsidP="00B20C9B" w:rsidRDefault="004F2C90" w14:paraId="10A468CD" w14:textId="77777777">
      <w:pPr>
        <w:rPr>
          <w:rFonts w:ascii="Arial" w:hAnsi="Arial" w:cs="Arial"/>
          <w:sz w:val="22"/>
          <w:szCs w:val="20"/>
        </w:rPr>
      </w:pPr>
      <w:r>
        <w:rPr>
          <w:rFonts w:ascii="Arial" w:hAnsi="Arial" w:cs="Arial"/>
          <w:sz w:val="22"/>
          <w:szCs w:val="20"/>
        </w:rPr>
        <w:t>Case 3: The set B of beams is the same as set A:</w:t>
      </w:r>
    </w:p>
    <w:p w:rsidRPr="009649EC" w:rsidR="00E553C3" w:rsidP="00E17C35" w:rsidRDefault="002710DF" w14:paraId="152EA4CE" w14:textId="21889AB9">
      <w:pPr>
        <w:ind w:left="425" w:leftChars="177"/>
        <w:rPr>
          <w:rFonts w:ascii="Arial" w:hAnsi="Arial" w:cs="Arial"/>
          <w:sz w:val="22"/>
          <w:szCs w:val="20"/>
        </w:rPr>
      </w:pPr>
      <w:r>
        <w:rPr>
          <w:rFonts w:ascii="Arial" w:hAnsi="Arial" w:cs="Arial"/>
          <w:sz w:val="22"/>
          <w:szCs w:val="20"/>
        </w:rPr>
        <w:t xml:space="preserve">When the set B of beams is the same as set A of beams, UE may </w:t>
      </w:r>
      <w:r w:rsidR="00B20C9B">
        <w:rPr>
          <w:rFonts w:ascii="Arial" w:hAnsi="Arial" w:cs="Arial"/>
          <w:sz w:val="22"/>
          <w:szCs w:val="20"/>
        </w:rPr>
        <w:t>have the measurements of set A of beams but not reported to NW.</w:t>
      </w:r>
    </w:p>
    <w:p w:rsidRPr="00DC5B9F" w:rsidR="007046C6" w:rsidP="00CF3EEE" w:rsidRDefault="007046C6" w14:paraId="25E5BE9C" w14:textId="79CE229C">
      <w:pPr>
        <w:rPr>
          <w:rFonts w:ascii="Arial" w:hAnsi="Arial" w:cs="Arial"/>
          <w:sz w:val="22"/>
          <w:szCs w:val="20"/>
        </w:rPr>
      </w:pPr>
    </w:p>
    <w:p w:rsidR="007046C6" w:rsidP="007046C6" w:rsidRDefault="007046C6" w14:paraId="0F63E06F" w14:textId="5B04E024">
      <w:pPr>
        <w:rPr>
          <w:rFonts w:ascii="Arial" w:hAnsi="Arial" w:cs="Arial"/>
          <w:b/>
          <w:bCs/>
          <w:sz w:val="22"/>
          <w:szCs w:val="20"/>
        </w:rPr>
      </w:pPr>
      <w:r>
        <w:rPr>
          <w:rFonts w:hint="eastAsia" w:ascii="Arial" w:hAnsi="Arial" w:cs="Arial"/>
          <w:b/>
          <w:bCs/>
          <w:sz w:val="22"/>
          <w:szCs w:val="20"/>
        </w:rPr>
        <w:t>O</w:t>
      </w:r>
      <w:r>
        <w:rPr>
          <w:rFonts w:ascii="Arial" w:hAnsi="Arial" w:cs="Arial"/>
          <w:b/>
          <w:bCs/>
          <w:sz w:val="22"/>
          <w:szCs w:val="20"/>
        </w:rPr>
        <w:t xml:space="preserve">bservation </w:t>
      </w:r>
      <w:r w:rsidR="00066E10">
        <w:rPr>
          <w:rFonts w:ascii="Arial" w:hAnsi="Arial" w:cs="Arial"/>
          <w:b/>
          <w:bCs/>
          <w:sz w:val="22"/>
          <w:szCs w:val="20"/>
        </w:rPr>
        <w:t>2</w:t>
      </w:r>
      <w:r>
        <w:rPr>
          <w:rFonts w:ascii="Arial" w:hAnsi="Arial" w:cs="Arial"/>
          <w:b/>
          <w:bCs/>
          <w:sz w:val="22"/>
          <w:szCs w:val="20"/>
        </w:rPr>
        <w:t xml:space="preserve">: There is a time gap between a functionality </w:t>
      </w:r>
      <w:r w:rsidR="00167CFA">
        <w:rPr>
          <w:rFonts w:ascii="Arial" w:hAnsi="Arial" w:cs="Arial"/>
          <w:b/>
          <w:bCs/>
          <w:sz w:val="22"/>
          <w:szCs w:val="20"/>
        </w:rPr>
        <w:t>becomes</w:t>
      </w:r>
      <w:r>
        <w:rPr>
          <w:rFonts w:ascii="Arial" w:hAnsi="Arial" w:cs="Arial"/>
          <w:b/>
          <w:bCs/>
          <w:sz w:val="22"/>
          <w:szCs w:val="20"/>
        </w:rPr>
        <w:t xml:space="preserve"> not applicable and NW </w:t>
      </w:r>
      <w:r w:rsidR="00AE5713">
        <w:rPr>
          <w:rFonts w:ascii="Arial" w:hAnsi="Arial" w:cs="Arial"/>
          <w:b/>
          <w:bCs/>
          <w:sz w:val="22"/>
          <w:szCs w:val="20"/>
        </w:rPr>
        <w:t xml:space="preserve">responds to </w:t>
      </w:r>
      <w:r>
        <w:rPr>
          <w:rFonts w:ascii="Arial" w:hAnsi="Arial" w:cs="Arial"/>
          <w:b/>
          <w:bCs/>
          <w:sz w:val="22"/>
          <w:szCs w:val="20"/>
        </w:rPr>
        <w:t xml:space="preserve">the </w:t>
      </w:r>
      <w:r w:rsidR="00AE5713">
        <w:rPr>
          <w:rFonts w:ascii="Arial" w:hAnsi="Arial" w:cs="Arial"/>
          <w:b/>
          <w:bCs/>
          <w:sz w:val="22"/>
          <w:szCs w:val="20"/>
        </w:rPr>
        <w:t>updated applicability</w:t>
      </w:r>
      <w:r>
        <w:rPr>
          <w:rFonts w:ascii="Arial" w:hAnsi="Arial" w:cs="Arial"/>
          <w:b/>
          <w:bCs/>
          <w:sz w:val="22"/>
          <w:szCs w:val="20"/>
        </w:rPr>
        <w:t>.</w:t>
      </w:r>
    </w:p>
    <w:p w:rsidR="00F0127F" w:rsidP="00CF3EEE" w:rsidRDefault="00F0127F" w14:paraId="2F049D47" w14:textId="5714F876">
      <w:pPr>
        <w:rPr>
          <w:rFonts w:hint="eastAsia" w:ascii="Arial" w:hAnsi="Arial" w:cs="Arial"/>
          <w:sz w:val="22"/>
          <w:szCs w:val="20"/>
        </w:rPr>
      </w:pPr>
    </w:p>
    <w:p w:rsidR="00A466C5" w:rsidP="00CF3EEE" w:rsidRDefault="004F2C90" w14:paraId="7977028E" w14:textId="46D6863D">
      <w:pPr>
        <w:rPr>
          <w:rFonts w:ascii="Arial" w:hAnsi="Arial" w:cs="Arial"/>
          <w:sz w:val="22"/>
          <w:szCs w:val="20"/>
        </w:rPr>
      </w:pPr>
      <w:r>
        <w:rPr>
          <w:rFonts w:ascii="Arial" w:hAnsi="Arial" w:cs="Arial"/>
          <w:sz w:val="22"/>
          <w:szCs w:val="20"/>
        </w:rPr>
        <w:t xml:space="preserve">In order to avoid the issues, the </w:t>
      </w:r>
      <w:r w:rsidR="00664C88">
        <w:rPr>
          <w:rFonts w:ascii="Arial" w:hAnsi="Arial" w:cs="Arial"/>
          <w:sz w:val="22"/>
          <w:szCs w:val="20"/>
        </w:rPr>
        <w:t xml:space="preserve">UE should be able to </w:t>
      </w:r>
      <w:r w:rsidR="004C4BD9">
        <w:rPr>
          <w:rFonts w:ascii="Arial" w:hAnsi="Arial" w:cs="Arial"/>
          <w:sz w:val="22"/>
          <w:szCs w:val="20"/>
        </w:rPr>
        <w:t>fallback</w:t>
      </w:r>
      <w:r w:rsidR="00664C88">
        <w:rPr>
          <w:rFonts w:ascii="Arial" w:hAnsi="Arial" w:cs="Arial"/>
          <w:sz w:val="22"/>
          <w:szCs w:val="20"/>
        </w:rPr>
        <w:t xml:space="preserve"> to legacy operation</w:t>
      </w:r>
      <w:r w:rsidR="00A50F8F">
        <w:rPr>
          <w:rFonts w:ascii="Arial" w:hAnsi="Arial" w:cs="Arial"/>
          <w:sz w:val="22"/>
          <w:szCs w:val="20"/>
        </w:rPr>
        <w:t xml:space="preserve"> autonomous</w:t>
      </w:r>
      <w:r w:rsidR="00AC7973">
        <w:rPr>
          <w:rFonts w:ascii="Arial" w:hAnsi="Arial" w:cs="Arial"/>
          <w:sz w:val="22"/>
          <w:szCs w:val="20"/>
        </w:rPr>
        <w:t>l</w:t>
      </w:r>
      <w:r w:rsidR="00A50F8F">
        <w:rPr>
          <w:rFonts w:ascii="Arial" w:hAnsi="Arial" w:cs="Arial"/>
          <w:sz w:val="22"/>
          <w:szCs w:val="20"/>
        </w:rPr>
        <w:t>y</w:t>
      </w:r>
      <w:r w:rsidR="00664C88">
        <w:rPr>
          <w:rFonts w:ascii="Arial" w:hAnsi="Arial" w:cs="Arial"/>
          <w:sz w:val="22"/>
          <w:szCs w:val="20"/>
        </w:rPr>
        <w:t xml:space="preserve"> before NW responds to </w:t>
      </w:r>
      <w:r w:rsidR="00EC1376">
        <w:rPr>
          <w:rFonts w:ascii="Arial" w:hAnsi="Arial" w:cs="Arial"/>
          <w:sz w:val="22"/>
          <w:szCs w:val="20"/>
        </w:rPr>
        <w:t>seamlessly continue</w:t>
      </w:r>
      <w:r w:rsidR="002906A4">
        <w:rPr>
          <w:rFonts w:ascii="Arial" w:hAnsi="Arial" w:cs="Arial"/>
          <w:sz w:val="22"/>
          <w:szCs w:val="20"/>
        </w:rPr>
        <w:t xml:space="preserve"> </w:t>
      </w:r>
      <w:r w:rsidR="00EC1376">
        <w:rPr>
          <w:rFonts w:ascii="Arial" w:hAnsi="Arial" w:cs="Arial"/>
          <w:sz w:val="22"/>
          <w:szCs w:val="20"/>
        </w:rPr>
        <w:t>to perform</w:t>
      </w:r>
      <w:r w:rsidR="002906A4">
        <w:rPr>
          <w:rFonts w:ascii="Arial" w:hAnsi="Arial" w:cs="Arial"/>
          <w:sz w:val="22"/>
          <w:szCs w:val="20"/>
        </w:rPr>
        <w:t xml:space="preserve"> </w:t>
      </w:r>
      <w:r w:rsidR="00EC1376">
        <w:rPr>
          <w:rFonts w:ascii="Arial" w:hAnsi="Arial" w:cs="Arial"/>
          <w:sz w:val="22"/>
          <w:szCs w:val="20"/>
        </w:rPr>
        <w:t xml:space="preserve">Beam Management. </w:t>
      </w:r>
      <w:r>
        <w:rPr>
          <w:rFonts w:hint="eastAsia" w:ascii="Arial" w:hAnsi="Arial" w:cs="Arial"/>
          <w:sz w:val="22"/>
          <w:szCs w:val="20"/>
        </w:rPr>
        <w:t>Th</w:t>
      </w:r>
      <w:r>
        <w:rPr>
          <w:rFonts w:ascii="Arial" w:hAnsi="Arial" w:cs="Arial"/>
          <w:sz w:val="22"/>
          <w:szCs w:val="20"/>
        </w:rPr>
        <w:t xml:space="preserve">e </w:t>
      </w:r>
      <w:r w:rsidR="00A466C5">
        <w:rPr>
          <w:rFonts w:hint="eastAsia" w:ascii="Arial" w:hAnsi="Arial" w:cs="Arial"/>
          <w:sz w:val="22"/>
          <w:szCs w:val="20"/>
        </w:rPr>
        <w:t>U</w:t>
      </w:r>
      <w:r w:rsidR="00A466C5">
        <w:rPr>
          <w:rFonts w:ascii="Arial" w:hAnsi="Arial" w:cs="Arial"/>
          <w:sz w:val="22"/>
          <w:szCs w:val="20"/>
        </w:rPr>
        <w:t xml:space="preserve">E may stop the AIML functionality upon detecting internal issues, </w:t>
      </w:r>
      <w:r w:rsidR="005F5CA3">
        <w:rPr>
          <w:rFonts w:ascii="Arial" w:hAnsi="Arial" w:cs="Arial"/>
          <w:sz w:val="22"/>
          <w:szCs w:val="20"/>
        </w:rPr>
        <w:t>performance monitoring below a threshold, after the evaluation of applicable functionalities</w:t>
      </w:r>
      <w:r w:rsidR="00691D03">
        <w:rPr>
          <w:rFonts w:ascii="Arial" w:hAnsi="Arial" w:cs="Arial"/>
          <w:sz w:val="22"/>
          <w:szCs w:val="20"/>
        </w:rPr>
        <w:t xml:space="preserve"> … etc.</w:t>
      </w:r>
      <w:r w:rsidR="001B63D3">
        <w:rPr>
          <w:rFonts w:ascii="Arial" w:hAnsi="Arial" w:cs="Arial"/>
          <w:sz w:val="22"/>
          <w:szCs w:val="20"/>
        </w:rPr>
        <w:t xml:space="preserve"> </w:t>
      </w:r>
      <w:r w:rsidR="00D10E0A">
        <w:rPr>
          <w:rFonts w:ascii="Arial" w:hAnsi="Arial" w:cs="Arial"/>
          <w:sz w:val="22"/>
          <w:szCs w:val="20"/>
        </w:rPr>
        <w:t xml:space="preserve">After </w:t>
      </w:r>
      <w:r>
        <w:rPr>
          <w:rFonts w:ascii="Arial" w:hAnsi="Arial" w:cs="Arial"/>
          <w:sz w:val="22"/>
          <w:szCs w:val="20"/>
        </w:rPr>
        <w:t xml:space="preserve">the </w:t>
      </w:r>
      <w:r w:rsidR="001B63D3">
        <w:rPr>
          <w:rFonts w:ascii="Arial" w:hAnsi="Arial" w:cs="Arial"/>
          <w:sz w:val="22"/>
          <w:szCs w:val="20"/>
        </w:rPr>
        <w:t>UE</w:t>
      </w:r>
      <w:r w:rsidR="00D10E0A">
        <w:rPr>
          <w:rFonts w:ascii="Arial" w:hAnsi="Arial" w:cs="Arial"/>
          <w:sz w:val="22"/>
          <w:szCs w:val="20"/>
        </w:rPr>
        <w:t xml:space="preserve"> stops the AIML functionality, </w:t>
      </w:r>
      <w:r>
        <w:rPr>
          <w:rFonts w:ascii="Arial" w:hAnsi="Arial" w:cs="Arial"/>
          <w:sz w:val="22"/>
          <w:szCs w:val="20"/>
        </w:rPr>
        <w:t xml:space="preserve">the </w:t>
      </w:r>
      <w:r w:rsidR="00D10E0A">
        <w:rPr>
          <w:rFonts w:ascii="Arial" w:hAnsi="Arial" w:cs="Arial"/>
          <w:sz w:val="22"/>
          <w:szCs w:val="20"/>
        </w:rPr>
        <w:t>UE</w:t>
      </w:r>
      <w:r w:rsidR="001B63D3">
        <w:rPr>
          <w:rFonts w:ascii="Arial" w:hAnsi="Arial" w:cs="Arial"/>
          <w:sz w:val="22"/>
          <w:szCs w:val="20"/>
        </w:rPr>
        <w:t xml:space="preserve"> may switch to legacy (non-AIML) </w:t>
      </w:r>
      <w:r w:rsidR="000302A5">
        <w:rPr>
          <w:rFonts w:ascii="Arial" w:hAnsi="Arial" w:cs="Arial"/>
          <w:sz w:val="22"/>
          <w:szCs w:val="20"/>
        </w:rPr>
        <w:t>Beam Management</w:t>
      </w:r>
      <w:r w:rsidR="000C58E9">
        <w:rPr>
          <w:rFonts w:ascii="Arial" w:hAnsi="Arial" w:cs="Arial"/>
          <w:sz w:val="22"/>
          <w:szCs w:val="20"/>
        </w:rPr>
        <w:t xml:space="preserve"> and perform measurements on set A of beams</w:t>
      </w:r>
      <w:r w:rsidR="000302A5">
        <w:rPr>
          <w:rFonts w:ascii="Arial" w:hAnsi="Arial" w:cs="Arial"/>
          <w:sz w:val="22"/>
          <w:szCs w:val="20"/>
        </w:rPr>
        <w:t xml:space="preserve">. </w:t>
      </w:r>
      <w:r>
        <w:rPr>
          <w:rFonts w:ascii="Arial" w:hAnsi="Arial" w:cs="Arial"/>
          <w:sz w:val="22"/>
          <w:szCs w:val="20"/>
        </w:rPr>
        <w:t xml:space="preserve">The </w:t>
      </w:r>
      <w:r w:rsidR="000C58E9">
        <w:rPr>
          <w:rFonts w:ascii="Arial" w:hAnsi="Arial" w:cs="Arial"/>
          <w:sz w:val="22"/>
          <w:szCs w:val="20"/>
        </w:rPr>
        <w:t>UE may report the measured set A of beams to NW following the existing procedure.</w:t>
      </w:r>
    </w:p>
    <w:p w:rsidRPr="00D854DA" w:rsidR="00D854DA" w:rsidP="00CF3EEE" w:rsidRDefault="00D854DA" w14:paraId="6AC3273F" w14:textId="69E86056">
      <w:pPr>
        <w:rPr>
          <w:rFonts w:ascii="Arial" w:hAnsi="Arial" w:cs="Arial"/>
          <w:sz w:val="22"/>
          <w:szCs w:val="20"/>
        </w:rPr>
      </w:pPr>
    </w:p>
    <w:p w:rsidR="00F0127F" w:rsidP="00F0127F" w:rsidRDefault="00F0127F" w14:paraId="16A83A5D" w14:textId="7DB5FFC3">
      <w:pPr>
        <w:rPr>
          <w:rFonts w:ascii="Arial" w:hAnsi="Arial" w:cs="Arial"/>
          <w:b/>
          <w:bCs/>
          <w:sz w:val="22"/>
          <w:szCs w:val="20"/>
        </w:rPr>
      </w:pPr>
      <w:r>
        <w:rPr>
          <w:rFonts w:hint="eastAsia" w:ascii="Arial" w:hAnsi="Arial" w:cs="Arial"/>
          <w:b/>
          <w:bCs/>
          <w:sz w:val="22"/>
          <w:szCs w:val="20"/>
        </w:rPr>
        <w:t>P</w:t>
      </w:r>
      <w:r>
        <w:rPr>
          <w:rFonts w:ascii="Arial" w:hAnsi="Arial" w:cs="Arial"/>
          <w:b/>
          <w:bCs/>
          <w:sz w:val="22"/>
          <w:szCs w:val="20"/>
        </w:rPr>
        <w:t xml:space="preserve">roposal 1: </w:t>
      </w:r>
      <w:r w:rsidR="004F2C90">
        <w:rPr>
          <w:rFonts w:ascii="Arial" w:hAnsi="Arial" w:cs="Arial"/>
          <w:b/>
          <w:bCs/>
          <w:sz w:val="22"/>
          <w:szCs w:val="20"/>
        </w:rPr>
        <w:t xml:space="preserve">The </w:t>
      </w:r>
      <w:r>
        <w:rPr>
          <w:rFonts w:ascii="Arial" w:hAnsi="Arial" w:cs="Arial"/>
          <w:b/>
          <w:bCs/>
          <w:sz w:val="22"/>
          <w:szCs w:val="20"/>
        </w:rPr>
        <w:t>UE supports autonomous fallback to legacy</w:t>
      </w:r>
      <w:r w:rsidR="00164DBC">
        <w:rPr>
          <w:rFonts w:ascii="Arial" w:hAnsi="Arial" w:cs="Arial"/>
          <w:b/>
          <w:bCs/>
          <w:sz w:val="22"/>
          <w:szCs w:val="20"/>
        </w:rPr>
        <w:t xml:space="preserve"> or autonomous deactivation</w:t>
      </w:r>
      <w:r>
        <w:rPr>
          <w:rFonts w:ascii="Arial" w:hAnsi="Arial" w:cs="Arial"/>
          <w:b/>
          <w:bCs/>
          <w:sz w:val="22"/>
          <w:szCs w:val="20"/>
        </w:rPr>
        <w:t xml:space="preserve"> before NW responds</w:t>
      </w:r>
      <w:r w:rsidR="005D7A4E">
        <w:rPr>
          <w:rFonts w:ascii="Arial" w:hAnsi="Arial" w:cs="Arial"/>
          <w:b/>
          <w:bCs/>
          <w:sz w:val="22"/>
          <w:szCs w:val="20"/>
        </w:rPr>
        <w:t xml:space="preserve"> to a</w:t>
      </w:r>
      <w:r w:rsidR="00377DED">
        <w:rPr>
          <w:rFonts w:ascii="Arial" w:hAnsi="Arial" w:cs="Arial"/>
          <w:b/>
          <w:bCs/>
          <w:sz w:val="22"/>
          <w:szCs w:val="20"/>
        </w:rPr>
        <w:t>n</w:t>
      </w:r>
      <w:r w:rsidR="005D7A4E">
        <w:rPr>
          <w:rFonts w:ascii="Arial" w:hAnsi="Arial" w:cs="Arial"/>
          <w:b/>
          <w:bCs/>
          <w:sz w:val="22"/>
          <w:szCs w:val="20"/>
        </w:rPr>
        <w:t xml:space="preserve"> updated applicable functionalities report</w:t>
      </w:r>
      <w:r>
        <w:rPr>
          <w:rFonts w:ascii="Arial" w:hAnsi="Arial" w:cs="Arial"/>
          <w:b/>
          <w:bCs/>
          <w:sz w:val="22"/>
          <w:szCs w:val="20"/>
        </w:rPr>
        <w:t>.</w:t>
      </w:r>
    </w:p>
    <w:p w:rsidRPr="006F7258" w:rsidR="006F7258" w:rsidP="006F7258" w:rsidRDefault="006F7258" w14:paraId="6A8BB130" w14:textId="77777777">
      <w:pPr>
        <w:pStyle w:val="1"/>
        <w:numPr>
          <w:ilvl w:val="0"/>
          <w:numId w:val="1"/>
        </w:numPr>
        <w:pBdr>
          <w:top w:val="single" w:color="auto" w:sz="12" w:space="4"/>
        </w:pBdr>
        <w:snapToGrid w:val="0"/>
        <w:spacing w:before="180" w:beforeLines="50" w:afterLines="50"/>
        <w:contextualSpacing/>
        <w:rPr>
          <w:rFonts w:cs="Arial"/>
          <w:sz w:val="32"/>
          <w:lang w:eastAsia="zh-TW"/>
        </w:rPr>
      </w:pPr>
      <w:r w:rsidRPr="006F7258">
        <w:rPr>
          <w:rFonts w:cs="Arial"/>
          <w:sz w:val="32"/>
          <w:lang w:eastAsia="zh-TW"/>
        </w:rPr>
        <w:t>Conclusion</w:t>
      </w:r>
    </w:p>
    <w:p w:rsidR="00477DFB" w:rsidP="00477DFB" w:rsidRDefault="00477DFB" w14:paraId="57FEC7D3" w14:textId="77777777">
      <w:pPr>
        <w:rPr>
          <w:rFonts w:ascii="Arial" w:hAnsi="Arial" w:cs="Arial"/>
          <w:b/>
          <w:bCs/>
          <w:sz w:val="22"/>
          <w:szCs w:val="20"/>
        </w:rPr>
      </w:pPr>
      <w:r w:rsidRPr="002C593B">
        <w:rPr>
          <w:rFonts w:ascii="Arial" w:hAnsi="Arial" w:cs="Arial"/>
          <w:b/>
          <w:bCs/>
          <w:sz w:val="22"/>
          <w:szCs w:val="20"/>
        </w:rPr>
        <w:t>Observation</w:t>
      </w:r>
      <w:r>
        <w:rPr>
          <w:rFonts w:ascii="Arial" w:hAnsi="Arial" w:cs="Arial"/>
          <w:b/>
          <w:bCs/>
          <w:sz w:val="22"/>
          <w:szCs w:val="20"/>
        </w:rPr>
        <w:t xml:space="preserve"> 1</w:t>
      </w:r>
      <w:r w:rsidRPr="002C593B">
        <w:rPr>
          <w:rFonts w:ascii="Arial" w:hAnsi="Arial" w:cs="Arial"/>
          <w:b/>
          <w:bCs/>
          <w:sz w:val="22"/>
          <w:szCs w:val="20"/>
        </w:rPr>
        <w:t xml:space="preserve">: When the functionality </w:t>
      </w:r>
      <w:r>
        <w:rPr>
          <w:rFonts w:ascii="Arial" w:hAnsi="Arial" w:cs="Arial"/>
          <w:b/>
          <w:bCs/>
          <w:sz w:val="22"/>
          <w:szCs w:val="20"/>
        </w:rPr>
        <w:t xml:space="preserve">becomes </w:t>
      </w:r>
      <w:r w:rsidRPr="002C593B">
        <w:rPr>
          <w:rFonts w:ascii="Arial" w:hAnsi="Arial" w:cs="Arial"/>
          <w:b/>
          <w:bCs/>
          <w:sz w:val="22"/>
          <w:szCs w:val="20"/>
        </w:rPr>
        <w:t xml:space="preserve">not applicable when activated, </w:t>
      </w:r>
      <w:r>
        <w:rPr>
          <w:rFonts w:ascii="Arial" w:hAnsi="Arial" w:cs="Arial"/>
          <w:b/>
          <w:bCs/>
          <w:sz w:val="22"/>
          <w:szCs w:val="20"/>
        </w:rPr>
        <w:t>the UE</w:t>
      </w:r>
      <w:r w:rsidRPr="002C593B">
        <w:rPr>
          <w:rFonts w:ascii="Arial" w:hAnsi="Arial" w:cs="Arial"/>
          <w:b/>
          <w:bCs/>
          <w:sz w:val="22"/>
          <w:szCs w:val="20"/>
        </w:rPr>
        <w:t xml:space="preserve"> is not able to perform inference</w:t>
      </w:r>
      <w:r>
        <w:rPr>
          <w:rFonts w:ascii="Arial" w:hAnsi="Arial" w:cs="Arial"/>
          <w:b/>
          <w:bCs/>
          <w:sz w:val="22"/>
          <w:szCs w:val="20"/>
        </w:rPr>
        <w:t>, and the UE reports updated applicable functionalities to NW.</w:t>
      </w:r>
    </w:p>
    <w:p w:rsidR="00DD51B5" w:rsidP="00DD51B5" w:rsidRDefault="00DD51B5" w14:paraId="405BFDF2" w14:textId="77777777">
      <w:pPr>
        <w:rPr>
          <w:rFonts w:ascii="Arial" w:hAnsi="Arial" w:cs="Arial"/>
          <w:b/>
          <w:bCs/>
          <w:sz w:val="22"/>
          <w:szCs w:val="20"/>
        </w:rPr>
      </w:pPr>
      <w:r>
        <w:rPr>
          <w:rFonts w:hint="eastAsia" w:ascii="Arial" w:hAnsi="Arial" w:cs="Arial"/>
          <w:b/>
          <w:bCs/>
          <w:sz w:val="22"/>
          <w:szCs w:val="20"/>
        </w:rPr>
        <w:t>O</w:t>
      </w:r>
      <w:r>
        <w:rPr>
          <w:rFonts w:ascii="Arial" w:hAnsi="Arial" w:cs="Arial"/>
          <w:b/>
          <w:bCs/>
          <w:sz w:val="22"/>
          <w:szCs w:val="20"/>
        </w:rPr>
        <w:t>bservation 2: There is a time gap between a functionality becomes not applicable and NW responds to the updated applicability.</w:t>
      </w:r>
    </w:p>
    <w:p w:rsidR="00D638F9" w:rsidP="00D638F9" w:rsidRDefault="00D638F9" w14:paraId="36D0C633" w14:textId="77777777">
      <w:pPr>
        <w:rPr>
          <w:rFonts w:ascii="Arial" w:hAnsi="Arial" w:cs="Arial"/>
          <w:b/>
          <w:bCs/>
          <w:sz w:val="22"/>
          <w:szCs w:val="20"/>
        </w:rPr>
      </w:pPr>
      <w:r>
        <w:rPr>
          <w:rFonts w:hint="eastAsia" w:ascii="Arial" w:hAnsi="Arial" w:cs="Arial"/>
          <w:b/>
          <w:bCs/>
          <w:sz w:val="22"/>
          <w:szCs w:val="20"/>
        </w:rPr>
        <w:t>P</w:t>
      </w:r>
      <w:r>
        <w:rPr>
          <w:rFonts w:ascii="Arial" w:hAnsi="Arial" w:cs="Arial"/>
          <w:b/>
          <w:bCs/>
          <w:sz w:val="22"/>
          <w:szCs w:val="20"/>
        </w:rPr>
        <w:t>roposal 1: The UE supports autonomous fallback to legacy or autonomous deactivation before NW responds to an updated applicable functionalities report.</w:t>
      </w:r>
    </w:p>
    <w:p w:rsidRPr="006F7258" w:rsidR="006F7258" w:rsidP="006F7258" w:rsidRDefault="006F7258" w14:paraId="495E4846" w14:textId="77777777">
      <w:pPr>
        <w:pStyle w:val="1"/>
        <w:snapToGrid w:val="0"/>
        <w:spacing w:before="180" w:beforeLines="50" w:afterLines="50"/>
        <w:ind w:left="431" w:hanging="431"/>
        <w:contextualSpacing/>
        <w:rPr>
          <w:rFonts w:cs="Arial"/>
          <w:sz w:val="32"/>
          <w:lang w:eastAsia="zh-TW"/>
        </w:rPr>
      </w:pPr>
      <w:r w:rsidRPr="006F7258">
        <w:rPr>
          <w:rFonts w:cs="Arial"/>
          <w:sz w:val="32"/>
          <w:lang w:eastAsia="zh-TW"/>
        </w:rPr>
        <w:t xml:space="preserve">References </w:t>
      </w:r>
    </w:p>
    <w:p w:rsidR="00410876" w:rsidP="00410876" w:rsidRDefault="00410876" w14:paraId="0EA1EDB6" w14:textId="3AD32B7C">
      <w:pPr>
        <w:spacing w:after="180" w:afterLines="50" w:line="280" w:lineRule="exact"/>
        <w:jc w:val="both"/>
        <w:rPr>
          <w:sz w:val="22"/>
          <w:szCs w:val="24"/>
        </w:rPr>
      </w:pPr>
      <w:r>
        <w:rPr>
          <w:rFonts w:hint="eastAsia"/>
          <w:sz w:val="22"/>
          <w:szCs w:val="24"/>
        </w:rPr>
        <w:t>[</w:t>
      </w:r>
      <w:r>
        <w:rPr>
          <w:sz w:val="22"/>
          <w:szCs w:val="24"/>
        </w:rPr>
        <w:t>1] RP-240774, “</w:t>
      </w:r>
      <w:r w:rsidRPr="00410876">
        <w:rPr>
          <w:sz w:val="22"/>
          <w:szCs w:val="24"/>
        </w:rPr>
        <w:t>Revised WID on Artificial Intelligence (AI)/Machine Learning (ML) for NR Air Interface</w:t>
      </w:r>
      <w:r>
        <w:rPr>
          <w:sz w:val="22"/>
          <w:szCs w:val="24"/>
        </w:rPr>
        <w:t>”</w:t>
      </w:r>
    </w:p>
    <w:p w:rsidRPr="00410876" w:rsidR="006F7258" w:rsidP="00410876" w:rsidRDefault="00410876" w14:paraId="41079320" w14:textId="36DC7451">
      <w:pPr>
        <w:spacing w:after="180" w:afterLines="50" w:line="280" w:lineRule="exact"/>
        <w:jc w:val="both"/>
        <w:rPr>
          <w:sz w:val="22"/>
          <w:szCs w:val="24"/>
        </w:rPr>
      </w:pPr>
      <w:r>
        <w:rPr>
          <w:rFonts w:hint="eastAsia"/>
          <w:sz w:val="22"/>
          <w:szCs w:val="24"/>
        </w:rPr>
        <w:t>[</w:t>
      </w:r>
      <w:r>
        <w:rPr>
          <w:sz w:val="22"/>
          <w:szCs w:val="24"/>
        </w:rPr>
        <w:t xml:space="preserve">2] </w:t>
      </w:r>
      <w:r w:rsidRPr="00410876">
        <w:rPr>
          <w:sz w:val="22"/>
          <w:szCs w:val="24"/>
        </w:rPr>
        <w:t>RAN2 Chair’s Notes of 3GPP TSG RAN WG2 #12</w:t>
      </w:r>
      <w:r>
        <w:rPr>
          <w:sz w:val="22"/>
          <w:szCs w:val="24"/>
        </w:rPr>
        <w:t>7</w:t>
      </w:r>
    </w:p>
    <w:p w:rsidRPr="006F7258" w:rsidR="006F7258" w:rsidP="006F7258" w:rsidRDefault="006F7258" w14:paraId="5AA40977" w14:textId="77777777">
      <w:pPr>
        <w:pStyle w:val="1"/>
        <w:snapToGrid w:val="0"/>
        <w:spacing w:before="180" w:beforeLines="50" w:afterLines="50"/>
        <w:ind w:left="431" w:hanging="431"/>
        <w:contextualSpacing/>
        <w:rPr>
          <w:rFonts w:cs="Arial"/>
          <w:sz w:val="32"/>
          <w:lang w:eastAsia="zh-TW"/>
        </w:rPr>
      </w:pPr>
      <w:r w:rsidRPr="006F7258">
        <w:rPr>
          <w:rFonts w:cs="Arial"/>
          <w:sz w:val="32"/>
          <w:lang w:eastAsia="zh-TW"/>
        </w:rPr>
        <w:t>Annex</w:t>
      </w:r>
    </w:p>
    <w:p w:rsidRPr="006F7258" w:rsidR="000E0903" w:rsidRDefault="000E0903" w14:paraId="6E69A25D" w14:textId="77777777">
      <w:pPr>
        <w:rPr>
          <w:rFonts w:ascii="Arial" w:hAnsi="Arial" w:cs="Arial"/>
        </w:rPr>
      </w:pPr>
    </w:p>
    <w:sectPr w:rsidRPr="006F7258" w:rsidR="000E0903" w:rsidSect="006F7258">
      <w:pgSz w:w="11906" w:h="16838" w:orient="portrait"/>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642C7" w:rsidP="00CF3EEE" w:rsidRDefault="00B642C7" w14:paraId="05CEEC01" w14:textId="77777777">
      <w:r>
        <w:separator/>
      </w:r>
    </w:p>
  </w:endnote>
  <w:endnote w:type="continuationSeparator" w:id="0">
    <w:p w:rsidR="00B642C7" w:rsidP="00CF3EEE" w:rsidRDefault="00B642C7" w14:paraId="41958A3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642C7" w:rsidP="00CF3EEE" w:rsidRDefault="00B642C7" w14:paraId="1481CD8A" w14:textId="77777777">
      <w:r>
        <w:separator/>
      </w:r>
    </w:p>
  </w:footnote>
  <w:footnote w:type="continuationSeparator" w:id="0">
    <w:p w:rsidR="00B642C7" w:rsidP="00CF3EEE" w:rsidRDefault="00B642C7" w14:paraId="4C8E5D1A"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hint="default" w:ascii="Times New Roman" w:hAnsi="Times New Roman"/>
        <w:sz w:val="28"/>
      </w:rPr>
    </w:lvl>
    <w:lvl w:ilvl="2" w:tplc="314C777A">
      <w:start w:val="1"/>
      <w:numFmt w:val="decimal"/>
      <w:lvlText w:val="2.%3"/>
      <w:lvlJc w:val="left"/>
      <w:pPr>
        <w:tabs>
          <w:tab w:val="num" w:pos="360"/>
        </w:tabs>
        <w:ind w:left="360" w:hanging="360"/>
      </w:pPr>
      <w:rPr>
        <w:rFonts w:hint="eastAsia" w:eastAsia="新細明體"/>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5A40026E"/>
    <w:multiLevelType w:val="hybridMultilevel"/>
    <w:tmpl w:val="B6BA70AC"/>
    <w:lvl w:ilvl="0" w:tplc="5C6C2CFC">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bordersDoNotSurroundHeader/>
  <w:bordersDoNotSurroundFooter/>
  <w:trackRevisions w:val="true"/>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58"/>
    <w:rsid w:val="000302A5"/>
    <w:rsid w:val="00066E10"/>
    <w:rsid w:val="00066E87"/>
    <w:rsid w:val="00067AB9"/>
    <w:rsid w:val="000A5FDA"/>
    <w:rsid w:val="000B59ED"/>
    <w:rsid w:val="000C58E9"/>
    <w:rsid w:val="000D165D"/>
    <w:rsid w:val="000E0903"/>
    <w:rsid w:val="00113F98"/>
    <w:rsid w:val="00116396"/>
    <w:rsid w:val="001257EC"/>
    <w:rsid w:val="001522DD"/>
    <w:rsid w:val="0015592C"/>
    <w:rsid w:val="00164DBC"/>
    <w:rsid w:val="00167CFA"/>
    <w:rsid w:val="001932BC"/>
    <w:rsid w:val="001B63D3"/>
    <w:rsid w:val="001C510F"/>
    <w:rsid w:val="001C7A9A"/>
    <w:rsid w:val="001D1111"/>
    <w:rsid w:val="001D35F4"/>
    <w:rsid w:val="001E7731"/>
    <w:rsid w:val="00263CBF"/>
    <w:rsid w:val="00265352"/>
    <w:rsid w:val="002710DF"/>
    <w:rsid w:val="0027431E"/>
    <w:rsid w:val="00280B3E"/>
    <w:rsid w:val="002906A4"/>
    <w:rsid w:val="002C593B"/>
    <w:rsid w:val="002D5124"/>
    <w:rsid w:val="002E4BC5"/>
    <w:rsid w:val="00355083"/>
    <w:rsid w:val="00377DED"/>
    <w:rsid w:val="003803BF"/>
    <w:rsid w:val="00391005"/>
    <w:rsid w:val="003E1210"/>
    <w:rsid w:val="003E77BC"/>
    <w:rsid w:val="003F383A"/>
    <w:rsid w:val="003F7825"/>
    <w:rsid w:val="00410876"/>
    <w:rsid w:val="00420123"/>
    <w:rsid w:val="00445E82"/>
    <w:rsid w:val="00447B40"/>
    <w:rsid w:val="00477DFB"/>
    <w:rsid w:val="004C4BD9"/>
    <w:rsid w:val="004F0D87"/>
    <w:rsid w:val="004F2C90"/>
    <w:rsid w:val="004F4B5A"/>
    <w:rsid w:val="004F54A1"/>
    <w:rsid w:val="005114CF"/>
    <w:rsid w:val="00516B86"/>
    <w:rsid w:val="00523FF6"/>
    <w:rsid w:val="0053037F"/>
    <w:rsid w:val="00547598"/>
    <w:rsid w:val="00547EED"/>
    <w:rsid w:val="0055582E"/>
    <w:rsid w:val="00560ED0"/>
    <w:rsid w:val="00590600"/>
    <w:rsid w:val="005958DF"/>
    <w:rsid w:val="005A255D"/>
    <w:rsid w:val="005B1DEC"/>
    <w:rsid w:val="005B34CD"/>
    <w:rsid w:val="005D2B39"/>
    <w:rsid w:val="005D7A4E"/>
    <w:rsid w:val="005E48AB"/>
    <w:rsid w:val="005F25DD"/>
    <w:rsid w:val="005F5CA3"/>
    <w:rsid w:val="0060098D"/>
    <w:rsid w:val="00603A4B"/>
    <w:rsid w:val="00614F89"/>
    <w:rsid w:val="00620A24"/>
    <w:rsid w:val="00664C88"/>
    <w:rsid w:val="00670486"/>
    <w:rsid w:val="006733E3"/>
    <w:rsid w:val="006832AB"/>
    <w:rsid w:val="00691D03"/>
    <w:rsid w:val="006A1554"/>
    <w:rsid w:val="006A7ED7"/>
    <w:rsid w:val="006F7252"/>
    <w:rsid w:val="006F7258"/>
    <w:rsid w:val="007006A6"/>
    <w:rsid w:val="0070394F"/>
    <w:rsid w:val="007046C6"/>
    <w:rsid w:val="00704B9A"/>
    <w:rsid w:val="00711425"/>
    <w:rsid w:val="00716BA9"/>
    <w:rsid w:val="00731312"/>
    <w:rsid w:val="0075607C"/>
    <w:rsid w:val="007570D3"/>
    <w:rsid w:val="00772362"/>
    <w:rsid w:val="00782645"/>
    <w:rsid w:val="00790353"/>
    <w:rsid w:val="007B118B"/>
    <w:rsid w:val="007C3DFB"/>
    <w:rsid w:val="00814EAE"/>
    <w:rsid w:val="00826EE9"/>
    <w:rsid w:val="0088076F"/>
    <w:rsid w:val="00884828"/>
    <w:rsid w:val="008A0062"/>
    <w:rsid w:val="008B1ACF"/>
    <w:rsid w:val="008E7605"/>
    <w:rsid w:val="008F2E97"/>
    <w:rsid w:val="00911D2E"/>
    <w:rsid w:val="00955620"/>
    <w:rsid w:val="009649EC"/>
    <w:rsid w:val="00973003"/>
    <w:rsid w:val="00981160"/>
    <w:rsid w:val="00981647"/>
    <w:rsid w:val="009C2574"/>
    <w:rsid w:val="009F25AD"/>
    <w:rsid w:val="00A4565A"/>
    <w:rsid w:val="00A466C5"/>
    <w:rsid w:val="00A46EB1"/>
    <w:rsid w:val="00A50F8F"/>
    <w:rsid w:val="00A575D9"/>
    <w:rsid w:val="00A6178B"/>
    <w:rsid w:val="00A66684"/>
    <w:rsid w:val="00A92BA1"/>
    <w:rsid w:val="00AC7973"/>
    <w:rsid w:val="00AE5713"/>
    <w:rsid w:val="00B20C9B"/>
    <w:rsid w:val="00B24621"/>
    <w:rsid w:val="00B33A0D"/>
    <w:rsid w:val="00B45747"/>
    <w:rsid w:val="00B50E59"/>
    <w:rsid w:val="00B5691A"/>
    <w:rsid w:val="00B642C7"/>
    <w:rsid w:val="00BA3B89"/>
    <w:rsid w:val="00BB6B1F"/>
    <w:rsid w:val="00BC6CA7"/>
    <w:rsid w:val="00BD4C12"/>
    <w:rsid w:val="00BE20D1"/>
    <w:rsid w:val="00C2637B"/>
    <w:rsid w:val="00C30860"/>
    <w:rsid w:val="00C35516"/>
    <w:rsid w:val="00C63C6A"/>
    <w:rsid w:val="00C76A46"/>
    <w:rsid w:val="00C91E82"/>
    <w:rsid w:val="00CB70FD"/>
    <w:rsid w:val="00CC288E"/>
    <w:rsid w:val="00CE1261"/>
    <w:rsid w:val="00CF3EEE"/>
    <w:rsid w:val="00D044C3"/>
    <w:rsid w:val="00D055C6"/>
    <w:rsid w:val="00D10E0A"/>
    <w:rsid w:val="00D35C94"/>
    <w:rsid w:val="00D536B7"/>
    <w:rsid w:val="00D5671D"/>
    <w:rsid w:val="00D62345"/>
    <w:rsid w:val="00D638F9"/>
    <w:rsid w:val="00D752E4"/>
    <w:rsid w:val="00D75F1F"/>
    <w:rsid w:val="00D82326"/>
    <w:rsid w:val="00D854DA"/>
    <w:rsid w:val="00D94864"/>
    <w:rsid w:val="00DB5F04"/>
    <w:rsid w:val="00DC1BC6"/>
    <w:rsid w:val="00DC57B5"/>
    <w:rsid w:val="00DC5B9F"/>
    <w:rsid w:val="00DD26D5"/>
    <w:rsid w:val="00DD51B5"/>
    <w:rsid w:val="00DE6039"/>
    <w:rsid w:val="00E17C35"/>
    <w:rsid w:val="00E25BD3"/>
    <w:rsid w:val="00E273D1"/>
    <w:rsid w:val="00E4399C"/>
    <w:rsid w:val="00E47085"/>
    <w:rsid w:val="00E526B4"/>
    <w:rsid w:val="00E553C3"/>
    <w:rsid w:val="00E86B1C"/>
    <w:rsid w:val="00E96308"/>
    <w:rsid w:val="00EC1376"/>
    <w:rsid w:val="00EC66E9"/>
    <w:rsid w:val="00ED601A"/>
    <w:rsid w:val="00F0127F"/>
    <w:rsid w:val="00F406CA"/>
    <w:rsid w:val="00F615FC"/>
    <w:rsid w:val="00FC2978"/>
    <w:rsid w:val="00FE1701"/>
    <w:rsid w:val="00FE6859"/>
    <w:rsid w:val="00FF50DA"/>
    <w:rsid w:val="00FF7B48"/>
    <w:rsid w:val="529871D1"/>
    <w:rsid w:val="75F123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539F6F"/>
  <w15:chartTrackingRefBased/>
  <w15:docId w15:val="{F9D45348-DC53-4250-98DB-DA3E796B433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uiPriority="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a" w:default="1">
    <w:name w:val="Normal"/>
    <w:qFormat/>
    <w:rsid w:val="00D638F9"/>
    <w:pPr>
      <w:widowControl w:val="0"/>
    </w:pPr>
  </w:style>
  <w:style w:type="paragraph" w:styleId="1">
    <w:name w:val="heading 1"/>
    <w:next w:val="a"/>
    <w:link w:val="10"/>
    <w:qFormat/>
    <w:rsid w:val="006F7258"/>
    <w:pPr>
      <w:keepNext/>
      <w:keepLines/>
      <w:pBdr>
        <w:top w:val="single" w:color="auto" w:sz="12" w:space="3"/>
      </w:pBdr>
      <w:spacing w:before="240" w:after="180"/>
      <w:ind w:left="1134" w:hanging="1134"/>
      <w:outlineLvl w:val="0"/>
    </w:pPr>
    <w:rPr>
      <w:rFonts w:ascii="Arial" w:hAnsi="Arial" w:eastAsia="新細明體" w:cs="Times New Roman"/>
      <w:kern w:val="0"/>
      <w:sz w:val="36"/>
      <w:szCs w:val="20"/>
      <w:lang w:val="en-GB" w:eastAsia="en-US"/>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character" w:styleId="10" w:customStyle="1">
    <w:name w:val="標題 1 字元"/>
    <w:basedOn w:val="a0"/>
    <w:link w:val="1"/>
    <w:rsid w:val="006F7258"/>
    <w:rPr>
      <w:rFonts w:ascii="Arial" w:hAnsi="Arial" w:eastAsia="新細明體"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qFormat/>
    <w:rsid w:val="006F7258"/>
    <w:pPr>
      <w:tabs>
        <w:tab w:val="center" w:pos="4153"/>
        <w:tab w:val="right" w:pos="8306"/>
      </w:tabs>
      <w:snapToGrid w:val="0"/>
    </w:pPr>
    <w:rPr>
      <w:sz w:val="20"/>
      <w:szCs w:val="20"/>
    </w:rPr>
  </w:style>
  <w:style w:type="character" w:styleId="a4" w:customStyle="1">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qFormat/>
    <w:rsid w:val="006F7258"/>
    <w:rPr>
      <w:sz w:val="20"/>
      <w:szCs w:val="20"/>
    </w:rPr>
  </w:style>
  <w:style w:type="paragraph" w:styleId="11">
    <w:name w:val="index 1"/>
    <w:basedOn w:val="a"/>
    <w:rsid w:val="006F7258"/>
    <w:pPr>
      <w:keepLines/>
      <w:widowControl/>
    </w:pPr>
    <w:rPr>
      <w:rFonts w:ascii="Times New Roman" w:hAnsi="Times New Roman" w:eastAsia="新細明體" w:cs="Times New Roman"/>
      <w:kern w:val="0"/>
      <w:sz w:val="20"/>
      <w:szCs w:val="20"/>
      <w:lang w:val="en-GB" w:eastAsia="en-US"/>
    </w:rPr>
  </w:style>
  <w:style w:type="character" w:styleId="normaltextrun" w:customStyle="1">
    <w:name w:val="normaltextrun"/>
    <w:basedOn w:val="a0"/>
    <w:rsid w:val="006F7258"/>
  </w:style>
  <w:style w:type="table" w:styleId="a5">
    <w:name w:val="Table Grid"/>
    <w:basedOn w:val="a1"/>
    <w:uiPriority w:val="39"/>
    <w:rsid w:val="00067AB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text2" w:customStyle="1">
    <w:name w:val="Doc-text2"/>
    <w:basedOn w:val="a"/>
    <w:link w:val="Doc-text2Char"/>
    <w:qFormat/>
    <w:rsid w:val="00067AB9"/>
    <w:pPr>
      <w:widowControl/>
      <w:tabs>
        <w:tab w:val="left" w:pos="1622"/>
      </w:tabs>
      <w:ind w:left="1622" w:hanging="363"/>
    </w:pPr>
    <w:rPr>
      <w:rFonts w:ascii="Arial" w:hAnsi="Arial" w:eastAsia="MS Mincho" w:cs="Times New Roman"/>
      <w:kern w:val="0"/>
      <w:sz w:val="20"/>
      <w:szCs w:val="24"/>
      <w:lang w:val="en-GB" w:eastAsia="en-GB"/>
    </w:rPr>
  </w:style>
  <w:style w:type="character" w:styleId="Doc-text2Char" w:customStyle="1">
    <w:name w:val="Doc-text2 Char"/>
    <w:link w:val="Doc-text2"/>
    <w:qFormat/>
    <w:rsid w:val="00067AB9"/>
    <w:rPr>
      <w:rFonts w:ascii="Arial" w:hAnsi="Arial" w:eastAsia="MS Mincho" w:cs="Times New Roman"/>
      <w:kern w:val="0"/>
      <w:sz w:val="20"/>
      <w:szCs w:val="24"/>
      <w:lang w:val="en-GB" w:eastAsia="en-GB"/>
    </w:rPr>
  </w:style>
  <w:style w:type="paragraph" w:styleId="a6">
    <w:name w:val="footer"/>
    <w:basedOn w:val="a"/>
    <w:link w:val="a7"/>
    <w:uiPriority w:val="99"/>
    <w:unhideWhenUsed/>
    <w:rsid w:val="00CF3EEE"/>
    <w:pPr>
      <w:tabs>
        <w:tab w:val="center" w:pos="4153"/>
        <w:tab w:val="right" w:pos="8306"/>
      </w:tabs>
      <w:snapToGrid w:val="0"/>
    </w:pPr>
    <w:rPr>
      <w:sz w:val="20"/>
      <w:szCs w:val="20"/>
    </w:rPr>
  </w:style>
  <w:style w:type="character" w:styleId="a7" w:customStyle="1">
    <w:name w:val="頁尾 字元"/>
    <w:basedOn w:val="a0"/>
    <w:link w:val="a6"/>
    <w:uiPriority w:val="99"/>
    <w:rsid w:val="00CF3EEE"/>
    <w:rPr>
      <w:sz w:val="20"/>
      <w:szCs w:val="20"/>
    </w:rPr>
  </w:style>
  <w:style w:type="character" w:styleId="a8">
    <w:name w:val="annotation reference"/>
    <w:basedOn w:val="a0"/>
    <w:uiPriority w:val="99"/>
    <w:semiHidden/>
    <w:unhideWhenUsed/>
    <w:rsid w:val="00D854DA"/>
    <w:rPr>
      <w:sz w:val="18"/>
      <w:szCs w:val="18"/>
    </w:rPr>
  </w:style>
  <w:style w:type="paragraph" w:styleId="a9">
    <w:name w:val="annotation text"/>
    <w:basedOn w:val="a"/>
    <w:link w:val="aa"/>
    <w:uiPriority w:val="99"/>
    <w:semiHidden/>
    <w:unhideWhenUsed/>
    <w:rsid w:val="00D854DA"/>
  </w:style>
  <w:style w:type="character" w:styleId="aa" w:customStyle="1">
    <w:name w:val="註解文字 字元"/>
    <w:basedOn w:val="a0"/>
    <w:link w:val="a9"/>
    <w:uiPriority w:val="99"/>
    <w:semiHidden/>
    <w:rsid w:val="00D854DA"/>
  </w:style>
  <w:style w:type="paragraph" w:styleId="ab">
    <w:name w:val="annotation subject"/>
    <w:basedOn w:val="a9"/>
    <w:next w:val="a9"/>
    <w:link w:val="ac"/>
    <w:uiPriority w:val="99"/>
    <w:semiHidden/>
    <w:unhideWhenUsed/>
    <w:rsid w:val="00D854DA"/>
    <w:rPr>
      <w:b/>
      <w:bCs/>
    </w:rPr>
  </w:style>
  <w:style w:type="character" w:styleId="ac" w:customStyle="1">
    <w:name w:val="註解主旨 字元"/>
    <w:basedOn w:val="aa"/>
    <w:link w:val="ab"/>
    <w:uiPriority w:val="99"/>
    <w:semiHidden/>
    <w:rsid w:val="00D854DA"/>
    <w:rPr>
      <w:b/>
      <w:bCs/>
    </w:rPr>
  </w:style>
  <w:style w:type="paragraph" w:styleId="ad">
    <w:name w:val="Revision"/>
    <w:hidden/>
    <w:uiPriority w:val="99"/>
    <w:semiHidden/>
    <w:rsid w:val="00D854DA"/>
  </w:style>
  <w:style w:type="paragraph" w:styleId="ae">
    <w:name w:val="Balloon Text"/>
    <w:basedOn w:val="a"/>
    <w:link w:val="af"/>
    <w:uiPriority w:val="99"/>
    <w:semiHidden/>
    <w:unhideWhenUsed/>
    <w:rsid w:val="00D854DA"/>
    <w:rPr>
      <w:rFonts w:asciiTheme="majorHAnsi" w:hAnsiTheme="majorHAnsi" w:eastAsiaTheme="majorEastAsia" w:cstheme="majorBidi"/>
      <w:sz w:val="18"/>
      <w:szCs w:val="18"/>
    </w:rPr>
  </w:style>
  <w:style w:type="character" w:styleId="af" w:customStyle="1">
    <w:name w:val="註解方塊文字 字元"/>
    <w:basedOn w:val="a0"/>
    <w:link w:val="ae"/>
    <w:uiPriority w:val="99"/>
    <w:semiHidden/>
    <w:rsid w:val="00D854DA"/>
    <w:rPr>
      <w:rFonts w:asciiTheme="majorHAnsi" w:hAnsiTheme="majorHAnsi" w:eastAsiaTheme="majorEastAsia"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62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Simon3 Chen(陳政修)</dc:creator>
  <keywords/>
  <dc:description/>
  <lastModifiedBy>Simon3 Chen(陳政修)</lastModifiedBy>
  <revision>10</revision>
  <dcterms:created xsi:type="dcterms:W3CDTF">2024-09-20T02:37:00.0000000Z</dcterms:created>
  <dcterms:modified xsi:type="dcterms:W3CDTF">2024-10-02T09:17:01.4966493Z</dcterms:modified>
</coreProperties>
</file>